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7743">
      <w:pPr>
        <w:pStyle w:val="3"/>
        <w:keepNext w:val="0"/>
        <w:keepLines w:val="0"/>
        <w:pageBreakBefore w:val="0"/>
        <w:spacing w:before="120" w:after="300"/>
        <w:jc w:val="center"/>
        <w:outlineLvl w:val="0"/>
      </w:pPr>
      <w:r>
        <w:rPr>
          <w:rFonts w:ascii="Times New Roman" w:hAnsi="Times New Roman" w:eastAsia="宋体" w:cs="Times New Roman"/>
          <w:b/>
          <w:color w:val="000000"/>
          <w:sz w:val="44"/>
        </w:rPr>
        <w:t>除四害服务合同</w:t>
      </w:r>
    </w:p>
    <w:p w14:paraId="122AA876">
      <w:pPr>
        <w:pStyle w:val="4"/>
        <w:keepNext w:val="0"/>
        <w:keepLines w:val="0"/>
        <w:pageBreakBefore w:val="0"/>
        <w:spacing w:before="200" w:after="100"/>
        <w:outlineLvl w:val="1"/>
      </w:pPr>
      <w:r>
        <w:rPr>
          <w:rFonts w:ascii="Times New Roman" w:hAnsi="Times New Roman" w:eastAsia="宋体" w:cs="Times New Roman"/>
          <w:b/>
          <w:color w:val="000000"/>
          <w:sz w:val="32"/>
        </w:rPr>
        <w:t>第一条 合同双方</w:t>
      </w:r>
    </w:p>
    <w:p w14:paraId="45140232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b/>
          <w:color w:val="000000"/>
          <w:sz w:val="24"/>
        </w:rPr>
        <w:t>甲方（委托方）：</w:t>
      </w:r>
    </w:p>
    <w:p w14:paraId="5ECB629A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b/>
          <w:color w:val="000000"/>
          <w:sz w:val="24"/>
        </w:rPr>
        <w:t>乙方（服务方）：</w:t>
      </w:r>
    </w:p>
    <w:p w14:paraId="26956377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>乙方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须具备</w:t>
      </w:r>
      <w:r>
        <w:rPr>
          <w:rFonts w:ascii="Times New Roman" w:hAnsi="Times New Roman" w:eastAsia="宋体" w:cs="Times New Roman"/>
          <w:color w:val="000000"/>
          <w:sz w:val="24"/>
        </w:rPr>
        <w:t>合法病媒生物预防控制服务资质，服务人员均经过专业培训并持有相关资格证书，且保证在本合同服务期内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乙方及服务人员的</w:t>
      </w:r>
      <w:r>
        <w:rPr>
          <w:rFonts w:ascii="Times New Roman" w:hAnsi="Times New Roman" w:eastAsia="宋体" w:cs="Times New Roman"/>
          <w:color w:val="000000"/>
          <w:sz w:val="24"/>
        </w:rPr>
        <w:t>资质持续有效；如资质失效，甲方有权单方解除合同。</w:t>
      </w:r>
    </w:p>
    <w:p w14:paraId="3342D21B">
      <w:pPr>
        <w:pStyle w:val="4"/>
        <w:keepNext w:val="0"/>
        <w:keepLines w:val="0"/>
        <w:pageBreakBefore w:val="0"/>
        <w:spacing w:before="200" w:after="100"/>
        <w:outlineLvl w:val="1"/>
      </w:pPr>
      <w:r>
        <w:rPr>
          <w:rFonts w:ascii="Times New Roman" w:hAnsi="Times New Roman" w:eastAsia="宋体" w:cs="Times New Roman"/>
          <w:b/>
          <w:color w:val="000000"/>
          <w:sz w:val="32"/>
        </w:rPr>
        <w:t>第二条 服务内容与范围</w:t>
      </w:r>
    </w:p>
    <w:p w14:paraId="42A0F3E2">
      <w:pPr>
        <w:spacing w:after="100" w:line="256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</w:pPr>
      <w:r>
        <w:rPr>
          <w:rFonts w:ascii="Times New Roman" w:hAnsi="Times New Roman" w:eastAsia="宋体" w:cs="Times New Roman"/>
          <w:color w:val="000000"/>
          <w:sz w:val="24"/>
        </w:rPr>
        <w:t>1. 服务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消杀范围</w:t>
      </w:r>
      <w:r>
        <w:rPr>
          <w:rFonts w:ascii="Times New Roman" w:hAnsi="Times New Roman" w:eastAsia="宋体" w:cs="Times New Roman"/>
          <w:color w:val="000000"/>
          <w:sz w:val="24"/>
        </w:rPr>
        <w:t>：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消杀范围覆盖校园全域所有绿地区域、公共区域，包含教学区、办公区、生活区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的公共厕所、楼梯间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杂物房等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。重点覆盖食品经营场所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周边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、垃圾收集处理设施、积水点位、地下管网、公共卫生间及各类隐蔽空隙区域，确保无盲区、无死角。</w:t>
      </w:r>
    </w:p>
    <w:p w14:paraId="4ECB646E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>2. 服务对象：灭鼠、灭蚊、灭蝇、灭蟑</w:t>
      </w:r>
    </w:p>
    <w:p w14:paraId="6B07B96D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>3. 服务内容：</w:t>
      </w:r>
    </w:p>
    <w:p w14:paraId="790AF816">
      <w:pPr>
        <w:pStyle w:val="16"/>
        <w:numPr>
          <w:ilvl w:val="0"/>
          <w:numId w:val="0"/>
        </w:numPr>
        <w:spacing w:after="80" w:line="256" w:lineRule="auto"/>
        <w:ind w:firstLine="480" w:firstLineChars="200"/>
      </w:pP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</w:rPr>
        <w:t>定期对服务区域进行四害密度监测，出具监测报告；</w:t>
      </w:r>
    </w:p>
    <w:p w14:paraId="57EFBEE2">
      <w:pPr>
        <w:pStyle w:val="16"/>
        <w:numPr>
          <w:ilvl w:val="0"/>
          <w:numId w:val="0"/>
        </w:numPr>
        <w:spacing w:after="80" w:line="256" w:lineRule="auto"/>
        <w:ind w:firstLine="480" w:firstLineChars="200"/>
      </w:pP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</w:rPr>
        <w:t>采用化学消杀、物理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防治</w:t>
      </w:r>
      <w:r>
        <w:rPr>
          <w:rFonts w:ascii="Times New Roman" w:hAnsi="Times New Roman" w:eastAsia="宋体" w:cs="Times New Roman"/>
          <w:color w:val="000000"/>
          <w:sz w:val="24"/>
        </w:rPr>
        <w:t>、环境治理建议相结合的综合防控方案；</w:t>
      </w:r>
    </w:p>
    <w:p w14:paraId="51A018A7">
      <w:pPr>
        <w:pStyle w:val="16"/>
        <w:numPr>
          <w:ilvl w:val="0"/>
          <w:numId w:val="0"/>
        </w:numPr>
        <w:spacing w:after="80" w:line="256" w:lineRule="auto"/>
        <w:ind w:firstLine="480" w:firstLineChars="200"/>
      </w:pP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</w:rPr>
        <w:t>对重点区域（厨房、仓库、垃圾房、卫生间、管道井、绿化带等）进行针对性处理；</w:t>
      </w:r>
    </w:p>
    <w:p w14:paraId="0B36613E">
      <w:pPr>
        <w:pStyle w:val="16"/>
        <w:numPr>
          <w:ilvl w:val="0"/>
          <w:numId w:val="0"/>
        </w:numPr>
        <w:spacing w:after="80" w:line="256" w:lineRule="auto"/>
        <w:ind w:firstLine="480" w:firstLineChars="200"/>
      </w:pP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</w:rPr>
        <w:t>提供四害防控技术咨询和员工培训服务；</w:t>
      </w:r>
    </w:p>
    <w:p w14:paraId="11D008F7">
      <w:pPr>
        <w:pStyle w:val="16"/>
        <w:numPr>
          <w:ilvl w:val="0"/>
          <w:numId w:val="0"/>
        </w:numPr>
        <w:spacing w:after="80" w:line="256" w:lineRule="auto"/>
        <w:ind w:firstLine="480" w:firstLineChars="200"/>
      </w:pP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</w:rPr>
        <w:t>遇突发疫情或密度超标情况时提供应急消杀服务。</w:t>
      </w:r>
    </w:p>
    <w:p w14:paraId="23C89FE1">
      <w:pPr>
        <w:pStyle w:val="4"/>
        <w:keepNext w:val="0"/>
        <w:keepLines w:val="0"/>
        <w:pageBreakBefore w:val="0"/>
        <w:spacing w:before="200" w:after="100"/>
        <w:outlineLvl w:val="1"/>
      </w:pPr>
      <w:r>
        <w:rPr>
          <w:rFonts w:ascii="Times New Roman" w:hAnsi="Times New Roman" w:eastAsia="宋体" w:cs="Times New Roman"/>
          <w:b/>
          <w:color w:val="000000"/>
          <w:sz w:val="32"/>
        </w:rPr>
        <w:t>第三条 服务期限与频次</w:t>
      </w:r>
    </w:p>
    <w:p w14:paraId="1C6ED905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>1. 服务期限：自______年______月______日起至______年______月______日止，共计_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12</w:t>
      </w:r>
      <w:r>
        <w:rPr>
          <w:rFonts w:ascii="Times New Roman" w:hAnsi="Times New Roman" w:eastAsia="宋体" w:cs="Times New Roman"/>
          <w:color w:val="000000"/>
          <w:sz w:val="24"/>
        </w:rPr>
        <w:t>_个月。</w:t>
      </w:r>
    </w:p>
    <w:p w14:paraId="45A93AF3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>2. 服务频次：</w:t>
      </w:r>
    </w:p>
    <w:p w14:paraId="277DEB2E">
      <w:pPr>
        <w:pStyle w:val="16"/>
        <w:numPr>
          <w:ilvl w:val="0"/>
          <w:numId w:val="0"/>
        </w:numPr>
        <w:spacing w:after="80" w:line="256" w:lineRule="auto"/>
        <w:ind w:left="380" w:leftChars="0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</w:rPr>
        <w:t>常规消杀：每月_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sz w:val="24"/>
        </w:rPr>
        <w:t>_次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（服务期内常规消杀次数合计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20次，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寒暑假原则上不安排消杀，具体消杀时间以甲方书面通知为准）</w:t>
      </w:r>
    </w:p>
    <w:p w14:paraId="777B2894">
      <w:pPr>
        <w:pStyle w:val="16"/>
        <w:numPr>
          <w:ilvl w:val="0"/>
          <w:numId w:val="0"/>
        </w:numPr>
        <w:spacing w:after="80" w:line="256" w:lineRule="auto"/>
        <w:ind w:left="380" w:leftChars="0"/>
      </w:pP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</w:rPr>
        <w:t>密度监测：每月1次，出具书面监测报告；</w:t>
      </w:r>
    </w:p>
    <w:p w14:paraId="5B0051E0">
      <w:pPr>
        <w:pStyle w:val="16"/>
        <w:numPr>
          <w:ilvl w:val="0"/>
          <w:numId w:val="0"/>
        </w:numPr>
        <w:spacing w:after="80" w:line="256" w:lineRule="auto"/>
        <w:ind w:left="380" w:leftChars="0"/>
      </w:pP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</w:rPr>
        <w:t>应急响应：接到甲方通知后24小时内到场处置。</w:t>
      </w:r>
    </w:p>
    <w:p w14:paraId="5C9758F8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>3. 乙方需提前1个工作日将服务计划告知甲方，每次服务后需填写《服务记录单》，由甲方现场负责人签字确认。</w:t>
      </w:r>
    </w:p>
    <w:p w14:paraId="1A05E5A1">
      <w:pPr>
        <w:pStyle w:val="4"/>
        <w:keepNext w:val="0"/>
        <w:keepLines w:val="0"/>
        <w:pageBreakBefore w:val="0"/>
        <w:spacing w:before="200" w:after="100"/>
        <w:outlineLvl w:val="1"/>
      </w:pPr>
      <w:r>
        <w:rPr>
          <w:rFonts w:ascii="Times New Roman" w:hAnsi="Times New Roman" w:eastAsia="宋体" w:cs="Times New Roman"/>
          <w:b/>
          <w:color w:val="000000"/>
          <w:sz w:val="32"/>
        </w:rPr>
        <w:t>第四条 服务质量标准</w:t>
      </w:r>
    </w:p>
    <w:p w14:paraId="3C4042A4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>服务效果需符合《全国爱卫会灭鼠、蚊、蝇、蟑螂标准》（全爱卫发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〔1997〕5号</w:t>
      </w:r>
      <w:r>
        <w:rPr>
          <w:rFonts w:ascii="Times New Roman" w:hAnsi="Times New Roman" w:eastAsia="宋体" w:cs="Times New Roman"/>
          <w:color w:val="000000"/>
          <w:sz w:val="24"/>
        </w:rPr>
        <w:t>）及广州市地方防控要求，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并需同时达到</w:t>
      </w:r>
      <w:r>
        <w:rPr>
          <w:rFonts w:ascii="Times New Roman" w:hAnsi="Times New Roman" w:eastAsia="宋体" w:cs="Times New Roman"/>
          <w:color w:val="000000"/>
          <w:sz w:val="24"/>
        </w:rPr>
        <w:t>具体指标如下：</w:t>
      </w:r>
    </w:p>
    <w:tbl>
      <w:tblPr>
        <w:tblStyle w:val="34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740"/>
      </w:tblGrid>
      <w:tr w14:paraId="363C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2BC4A297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  <w:t>防控对象</w:t>
            </w:r>
          </w:p>
        </w:tc>
        <w:tc>
          <w:tcPr>
            <w:tcW w:w="7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534EFF44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  <w:t>控制标准</w:t>
            </w:r>
          </w:p>
        </w:tc>
      </w:tr>
      <w:tr w14:paraId="1A0A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47AC4495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鼠类</w:t>
            </w:r>
          </w:p>
        </w:tc>
        <w:tc>
          <w:tcPr>
            <w:tcW w:w="7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259062FF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15㎡标准房间滑石粉块阳性率≤3%，有鼠迹房间≤2%，外环境鼠迹≤5处/2000米</w:t>
            </w:r>
          </w:p>
        </w:tc>
      </w:tr>
      <w:tr w14:paraId="0353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49365DCC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蚊虫</w:t>
            </w:r>
          </w:p>
        </w:tc>
        <w:tc>
          <w:tcPr>
            <w:tcW w:w="7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619A91E0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各类积水容器蚊幼及蛹阳性率≤3%，人诱蚊30分钟平均每人次诱获成蚊≤1只</w:t>
            </w:r>
          </w:p>
        </w:tc>
      </w:tr>
      <w:tr w14:paraId="6FEC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34A9CFD3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蝇类</w:t>
            </w:r>
          </w:p>
        </w:tc>
        <w:tc>
          <w:tcPr>
            <w:tcW w:w="7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5503E0A1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有蝇房间≤3%，平均每阳性房间成蝇≤3只，直接入口食品场所无蝇</w:t>
            </w:r>
          </w:p>
        </w:tc>
      </w:tr>
      <w:tr w14:paraId="6D15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3EBE7CF6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蟑螂</w:t>
            </w:r>
          </w:p>
        </w:tc>
        <w:tc>
          <w:tcPr>
            <w:tcW w:w="7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8" w:type="dxa"/>
              <w:left w:w="78" w:type="dxa"/>
              <w:bottom w:w="18" w:type="dxa"/>
              <w:right w:w="78" w:type="dxa"/>
            </w:tcMar>
          </w:tcPr>
          <w:p w14:paraId="170B187B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成虫阳性房间≤3%，平均每间房大蠊≤5只、小蠊≤10只，卵鞘阳性房间≤2%</w:t>
            </w:r>
          </w:p>
        </w:tc>
      </w:tr>
    </w:tbl>
    <w:p w14:paraId="50A3980A">
      <w:pPr>
        <w:pStyle w:val="4"/>
        <w:keepNext w:val="0"/>
        <w:keepLines w:val="0"/>
        <w:pageBreakBefore w:val="0"/>
        <w:spacing w:before="200" w:after="100"/>
        <w:outlineLvl w:val="1"/>
      </w:pPr>
      <w:r>
        <w:rPr>
          <w:rFonts w:ascii="Times New Roman" w:hAnsi="Times New Roman" w:eastAsia="宋体" w:cs="Times New Roman"/>
          <w:b/>
          <w:color w:val="000000"/>
          <w:sz w:val="32"/>
        </w:rPr>
        <w:t>第五条 双方权利与义务</w:t>
      </w:r>
    </w:p>
    <w:p w14:paraId="319AD679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b/>
          <w:color w:val="000000"/>
          <w:sz w:val="24"/>
        </w:rPr>
        <w:t>（一）甲方权利义务</w:t>
      </w:r>
    </w:p>
    <w:p w14:paraId="2E97F308">
      <w:pPr>
        <w:pStyle w:val="14"/>
        <w:numPr>
          <w:ilvl w:val="0"/>
          <w:numId w:val="7"/>
        </w:numPr>
        <w:spacing w:after="80" w:line="256" w:lineRule="auto"/>
        <w:ind w:left="840" w:hanging="360"/>
      </w:pPr>
      <w:r>
        <w:rPr>
          <w:rFonts w:ascii="Times New Roman" w:hAnsi="Times New Roman" w:eastAsia="宋体" w:cs="Times New Roman"/>
          <w:color w:val="000000"/>
          <w:sz w:val="24"/>
        </w:rPr>
        <w:t>向乙方提供服务区域的平面图、重点区域分布等必要资料，配合乙方开展现场作业；</w:t>
      </w:r>
    </w:p>
    <w:p w14:paraId="5D0DDE40">
      <w:pPr>
        <w:pStyle w:val="14"/>
        <w:numPr>
          <w:ilvl w:val="0"/>
          <w:numId w:val="7"/>
        </w:numPr>
        <w:spacing w:after="80" w:line="256" w:lineRule="auto"/>
        <w:ind w:left="840" w:hanging="360"/>
      </w:pPr>
      <w:r>
        <w:rPr>
          <w:rFonts w:ascii="Times New Roman" w:hAnsi="Times New Roman" w:eastAsia="宋体" w:cs="Times New Roman"/>
          <w:color w:val="000000"/>
          <w:sz w:val="24"/>
        </w:rPr>
        <w:t>落实乙方提出的环境治理建议，及时清理积水、清运垃圾、封堵鼠洞，完善防鼠防蝇设施；</w:t>
      </w:r>
    </w:p>
    <w:p w14:paraId="181DC0DE">
      <w:pPr>
        <w:pStyle w:val="14"/>
        <w:numPr>
          <w:ilvl w:val="0"/>
          <w:numId w:val="7"/>
        </w:numPr>
        <w:spacing w:after="80" w:line="256" w:lineRule="auto"/>
        <w:ind w:left="840" w:hanging="360"/>
      </w:pPr>
      <w:r>
        <w:rPr>
          <w:rFonts w:ascii="Times New Roman" w:hAnsi="Times New Roman" w:eastAsia="宋体" w:cs="Times New Roman"/>
          <w:color w:val="000000"/>
          <w:sz w:val="24"/>
        </w:rPr>
        <w:t>对乙方服务质量进行监督，发现密度超标或服务不规范情况有权要求乙方限期整改；</w:t>
      </w:r>
    </w:p>
    <w:p w14:paraId="49BE3744">
      <w:pPr>
        <w:pStyle w:val="14"/>
        <w:numPr>
          <w:ilvl w:val="0"/>
          <w:numId w:val="7"/>
        </w:numPr>
        <w:spacing w:after="80" w:line="256" w:lineRule="auto"/>
        <w:ind w:left="840" w:hanging="360"/>
      </w:pPr>
      <w:r>
        <w:rPr>
          <w:rFonts w:ascii="Times New Roman" w:hAnsi="Times New Roman" w:eastAsia="宋体" w:cs="Times New Roman"/>
          <w:color w:val="000000"/>
          <w:sz w:val="24"/>
        </w:rPr>
        <w:t>按合同约定及时支付服务费用。</w:t>
      </w:r>
    </w:p>
    <w:p w14:paraId="2A8D5F2E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b/>
          <w:color w:val="000000"/>
          <w:sz w:val="24"/>
        </w:rPr>
        <w:t>（二）乙方权利义务</w:t>
      </w:r>
    </w:p>
    <w:p w14:paraId="63EA0DC2">
      <w:pPr>
        <w:pStyle w:val="14"/>
        <w:numPr>
          <w:ilvl w:val="0"/>
          <w:numId w:val="8"/>
        </w:numPr>
        <w:spacing w:after="80" w:line="256" w:lineRule="auto"/>
        <w:ind w:left="840" w:hanging="360"/>
      </w:pPr>
      <w:r>
        <w:rPr>
          <w:rFonts w:ascii="Times New Roman" w:hAnsi="Times New Roman" w:eastAsia="宋体" w:cs="Times New Roman"/>
          <w:color w:val="000000"/>
          <w:sz w:val="24"/>
        </w:rPr>
        <w:t>制定科学合理的防控方案，使用的所有除四害药物均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须具备</w:t>
      </w:r>
      <w:r>
        <w:rPr>
          <w:rFonts w:ascii="Times New Roman" w:hAnsi="Times New Roman" w:eastAsia="宋体" w:cs="Times New Roman"/>
          <w:color w:val="000000"/>
          <w:sz w:val="24"/>
        </w:rPr>
        <w:t>完整的农药登记证、生产许可证、产品标准证，严禁使用国家违禁药物；</w:t>
      </w:r>
    </w:p>
    <w:p w14:paraId="6D552E6D">
      <w:pPr>
        <w:pStyle w:val="14"/>
        <w:numPr>
          <w:ilvl w:val="0"/>
          <w:numId w:val="8"/>
        </w:numPr>
        <w:spacing w:after="80" w:line="256" w:lineRule="auto"/>
        <w:ind w:left="840" w:hanging="360"/>
      </w:pPr>
      <w:r>
        <w:rPr>
          <w:rFonts w:ascii="Times New Roman" w:hAnsi="Times New Roman" w:eastAsia="宋体" w:cs="Times New Roman"/>
          <w:color w:val="000000"/>
          <w:sz w:val="24"/>
        </w:rPr>
        <w:t>服务人员作业时需佩戴工作证、穿戴统一工作服，严格遵守安全操作规程，避免对人员、食品、环境造成污染；</w:t>
      </w:r>
    </w:p>
    <w:p w14:paraId="6ECB4988">
      <w:pPr>
        <w:pStyle w:val="14"/>
        <w:numPr>
          <w:ilvl w:val="0"/>
          <w:numId w:val="8"/>
        </w:numPr>
        <w:spacing w:after="80" w:line="256" w:lineRule="auto"/>
        <w:ind w:left="840" w:hanging="360"/>
      </w:pPr>
      <w:r>
        <w:rPr>
          <w:rFonts w:ascii="Times New Roman" w:hAnsi="Times New Roman" w:eastAsia="宋体" w:cs="Times New Roman"/>
          <w:color w:val="000000"/>
          <w:sz w:val="24"/>
        </w:rPr>
        <w:t>每次服务后向甲方提交服务记录，每月提交密度监测报告，每年提交年度防控总结；</w:t>
      </w:r>
    </w:p>
    <w:p w14:paraId="21F9B049">
      <w:pPr>
        <w:pStyle w:val="14"/>
        <w:numPr>
          <w:ilvl w:val="0"/>
          <w:numId w:val="8"/>
        </w:numPr>
        <w:spacing w:after="80" w:line="256" w:lineRule="auto"/>
        <w:ind w:left="840" w:hanging="360"/>
      </w:pPr>
      <w:r>
        <w:rPr>
          <w:rFonts w:ascii="Times New Roman" w:hAnsi="Times New Roman" w:eastAsia="宋体" w:cs="Times New Roman"/>
          <w:color w:val="000000"/>
          <w:sz w:val="24"/>
        </w:rPr>
        <w:t>若服务区域发生病媒传播疫情或密度超标，需免费开展应急消杀，直至密度达标；</w:t>
      </w:r>
    </w:p>
    <w:p w14:paraId="6C8242B7">
      <w:pPr>
        <w:pStyle w:val="14"/>
        <w:numPr>
          <w:ilvl w:val="0"/>
          <w:numId w:val="8"/>
        </w:numPr>
        <w:spacing w:after="80" w:line="256" w:lineRule="auto"/>
        <w:ind w:left="840" w:hanging="360"/>
      </w:pPr>
      <w:r>
        <w:rPr>
          <w:rFonts w:ascii="Times New Roman" w:hAnsi="Times New Roman" w:eastAsia="宋体" w:cs="Times New Roman"/>
          <w:color w:val="000000"/>
          <w:sz w:val="24"/>
        </w:rPr>
        <w:t>对服务过程中知悉的甲方商业秘密承担保密义务。</w:t>
      </w:r>
    </w:p>
    <w:p w14:paraId="43D314FF">
      <w:pPr>
        <w:pStyle w:val="14"/>
        <w:numPr>
          <w:ilvl w:val="0"/>
          <w:numId w:val="8"/>
        </w:numPr>
        <w:spacing w:after="80" w:line="256" w:lineRule="auto"/>
        <w:ind w:left="840" w:hanging="360"/>
      </w:pPr>
      <w:r>
        <w:rPr>
          <w:rFonts w:ascii="Times New Roman" w:hAnsi="Times New Roman" w:eastAsia="宋体" w:cs="Times New Roman"/>
          <w:color w:val="000000"/>
          <w:sz w:val="24"/>
        </w:rPr>
        <w:t>乙方不得将本合同项下服务全部或部分转包、转委托给第三方，否则乙方应支付合同总金额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【】</w:t>
      </w:r>
      <w:r>
        <w:rPr>
          <w:rFonts w:ascii="Times New Roman" w:hAnsi="Times New Roman" w:eastAsia="宋体" w:cs="Times New Roman"/>
          <w:color w:val="000000"/>
          <w:sz w:val="24"/>
        </w:rPr>
        <w:t>%的违约金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，且</w:t>
      </w:r>
      <w:r>
        <w:rPr>
          <w:rFonts w:ascii="Times New Roman" w:hAnsi="Times New Roman" w:eastAsia="宋体" w:cs="Times New Roman"/>
          <w:color w:val="000000"/>
          <w:sz w:val="24"/>
        </w:rPr>
        <w:t>甲方有权单方解除合同。</w:t>
      </w:r>
    </w:p>
    <w:p w14:paraId="2B812840">
      <w:pPr>
        <w:pStyle w:val="4"/>
        <w:keepNext w:val="0"/>
        <w:keepLines w:val="0"/>
        <w:pageBreakBefore w:val="0"/>
        <w:spacing w:before="200" w:after="100"/>
        <w:outlineLvl w:val="1"/>
      </w:pPr>
      <w:r>
        <w:rPr>
          <w:rFonts w:ascii="Times New Roman" w:hAnsi="Times New Roman" w:eastAsia="宋体" w:cs="Times New Roman"/>
          <w:b/>
          <w:color w:val="000000"/>
          <w:sz w:val="32"/>
        </w:rPr>
        <w:t>第六条 服务费用及支付方式</w:t>
      </w:r>
    </w:p>
    <w:p w14:paraId="2B33ACD7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 xml:space="preserve">1. </w:t>
      </w:r>
      <w:r>
        <w:rPr>
          <w:rFonts w:hint="eastAsia" w:ascii="Times New Roman" w:hAnsi="Times New Roman" w:eastAsia="宋体" w:cs="Times New Roman"/>
          <w:color w:val="000000"/>
          <w:sz w:val="24"/>
        </w:rPr>
        <w:t>本合同总服务费为人民币</w:t>
      </w:r>
      <w:r>
        <w:rPr>
          <w:rFonts w:ascii="Times New Roman" w:hAnsi="Times New Roman" w:eastAsia="宋体" w:cs="Times New Roman"/>
          <w:color w:val="000000"/>
          <w:sz w:val="24"/>
        </w:rPr>
        <w:t>_____元</w:t>
      </w:r>
      <w:r>
        <w:rPr>
          <w:rFonts w:hint="eastAsia" w:ascii="Times New Roman" w:hAnsi="Times New Roman" w:eastAsia="宋体" w:cs="Times New Roman"/>
          <w:color w:val="000000"/>
          <w:sz w:val="24"/>
        </w:rPr>
        <w:t>（大写：</w:t>
      </w:r>
      <w:r>
        <w:rPr>
          <w:rFonts w:ascii="Times New Roman" w:hAnsi="Times New Roman" w:eastAsia="宋体" w:cs="Times New Roman"/>
          <w:color w:val="000000"/>
          <w:sz w:val="24"/>
        </w:rPr>
        <w:t>_____元</w:t>
      </w:r>
      <w:r>
        <w:rPr>
          <w:rFonts w:hint="eastAsia" w:ascii="Times New Roman" w:hAnsi="Times New Roman" w:eastAsia="宋体" w:cs="Times New Roman"/>
          <w:color w:val="000000"/>
          <w:sz w:val="24"/>
        </w:rPr>
        <w:t>整），包含20次常规消杀服务的所有药物、器械、人工、税费等全部费用。常规次数内无额外收费，如需额外增加消杀服务，单次费用为人民币人民币</w:t>
      </w:r>
      <w:r>
        <w:rPr>
          <w:rFonts w:ascii="Times New Roman" w:hAnsi="Times New Roman" w:eastAsia="宋体" w:cs="Times New Roman"/>
          <w:color w:val="000000"/>
          <w:sz w:val="24"/>
        </w:rPr>
        <w:t>_____元</w:t>
      </w:r>
      <w:r>
        <w:rPr>
          <w:rFonts w:hint="eastAsia" w:ascii="Times New Roman" w:hAnsi="Times New Roman" w:eastAsia="宋体" w:cs="Times New Roman"/>
          <w:color w:val="000000"/>
          <w:sz w:val="24"/>
        </w:rPr>
        <w:t>（大写：</w:t>
      </w:r>
      <w:r>
        <w:rPr>
          <w:rFonts w:ascii="Times New Roman" w:hAnsi="Times New Roman" w:eastAsia="宋体" w:cs="Times New Roman"/>
          <w:color w:val="000000"/>
          <w:sz w:val="24"/>
        </w:rPr>
        <w:t>_____元</w:t>
      </w:r>
      <w:r>
        <w:rPr>
          <w:rFonts w:hint="eastAsia" w:ascii="Times New Roman" w:hAnsi="Times New Roman" w:eastAsia="宋体" w:cs="Times New Roman"/>
          <w:color w:val="000000"/>
          <w:sz w:val="24"/>
        </w:rPr>
        <w:t>整），按实际增加次数结算。</w:t>
      </w:r>
    </w:p>
    <w:p w14:paraId="5F3EF3AE">
      <w:pPr>
        <w:spacing w:after="100" w:line="256" w:lineRule="auto"/>
        <w:ind w:firstLine="480"/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</w:rPr>
        <w:t>2. 支付方式：按【半年】支付，甲方在收到乙方正规发票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及对应周期内的服务记录、密度监测报告（年度防控总结应在甲方支付尾款前提供）</w:t>
      </w:r>
      <w:r>
        <w:rPr>
          <w:rFonts w:ascii="Times New Roman" w:hAnsi="Times New Roman" w:eastAsia="宋体" w:cs="Times New Roman"/>
          <w:color w:val="000000"/>
          <w:sz w:val="24"/>
        </w:rPr>
        <w:t>后15个工作日内支付对应周期费用。</w:t>
      </w:r>
    </w:p>
    <w:p w14:paraId="5B1ABA6B">
      <w:pPr>
        <w:pStyle w:val="4"/>
        <w:keepNext w:val="0"/>
        <w:keepLines w:val="0"/>
        <w:pageBreakBefore w:val="0"/>
        <w:spacing w:before="200" w:after="100"/>
        <w:outlineLvl w:val="1"/>
      </w:pPr>
      <w:r>
        <w:rPr>
          <w:rFonts w:ascii="Times New Roman" w:hAnsi="Times New Roman" w:eastAsia="宋体" w:cs="Times New Roman"/>
          <w:b/>
          <w:color w:val="000000"/>
          <w:sz w:val="32"/>
        </w:rPr>
        <w:t>第七条 责任划分与违约责任</w:t>
      </w:r>
    </w:p>
    <w:p w14:paraId="4E8BD652">
      <w:pPr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</w:pPr>
      <w:r>
        <w:rPr>
          <w:rFonts w:ascii="Times New Roman" w:hAnsi="Times New Roman" w:eastAsia="宋体" w:cs="Times New Roman"/>
          <w:color w:val="000000"/>
          <w:sz w:val="24"/>
        </w:rPr>
        <w:t xml:space="preserve">1. 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若乙方服务效果未达到本合同约定标准，甲方有权向乙方出具书面整改通知，列明不达标的具体情形及整改要求，乙方应在收到通知后7个工作日内免费完成整改并提交甲方验收。甲方应在收到整改成果后[3]个工作日内完成验收。</w:t>
      </w:r>
    </w:p>
    <w:p w14:paraId="7809546D">
      <w:pP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整改后仍未达到约定标准的，甲方有权扣除对应单次服务的服务费用。若乙方连续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2次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经整改后仍不达标的，甲方有权单方解除本合同。</w:t>
      </w:r>
    </w:p>
    <w:p w14:paraId="5DAA00D6">
      <w:pPr>
        <w:spacing w:after="0" w:line="240" w:lineRule="auto"/>
        <w:ind w:firstLine="0"/>
      </w:pP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  <w:color w:val="000000"/>
          <w:sz w:val="24"/>
        </w:rPr>
        <w:t>2. 若因乙方使用不合格药物、操作不规范导致人员中毒、环境污染、财产损失等安全事故，由乙方承担全部赔偿责任及相关法律责任，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且</w:t>
      </w:r>
      <w:r>
        <w:rPr>
          <w:rFonts w:ascii="Times New Roman" w:hAnsi="Times New Roman" w:eastAsia="宋体" w:cs="Times New Roman"/>
          <w:color w:val="000000"/>
          <w:sz w:val="24"/>
        </w:rPr>
        <w:t>甲方有权单方解除合同。</w:t>
      </w:r>
    </w:p>
    <w:p w14:paraId="689FE9C5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>3. 若因甲方未配合落实环境治理建议、隐瞒重点孳生区域等原因导致四害密度超标，乙方不承担责任，如需开展应急消杀，费用由甲方另行承担。</w:t>
      </w:r>
    </w:p>
    <w:p w14:paraId="2761362D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>4. 若因病媒输入性疫情、不可抗力等非双方原因导致密度超标，双方按公平原则分担应急处置费用。</w:t>
      </w:r>
    </w:p>
    <w:p w14:paraId="4A2286AF">
      <w:pPr>
        <w:spacing w:after="100" w:line="256" w:lineRule="auto"/>
        <w:ind w:firstLine="480"/>
        <w:jc w:val="both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5. 甲方逾期支付服务费的，每逾期1日按应付金额的0.5‰支付违约金。</w:t>
      </w:r>
    </w:p>
    <w:p w14:paraId="2CCC0EDA">
      <w:pPr>
        <w:spacing w:after="100" w:line="256" w:lineRule="auto"/>
        <w:ind w:firstLine="480"/>
        <w:jc w:val="both"/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6.乙方未按约定时间提供常规消杀服务的，每逾期1日，按当次服务费用的【】%支付违约金；应急响应超过24小时到场的，每次支付合同总金额【】%的违约金；常规消杀服务逾期达【】日或应急响应超过【】小时仍未到场的，甲方有权另行委托第三方提供服务，因此产生的全部费用和损失由乙方承担，且甲方有权解除本合同。</w:t>
      </w:r>
    </w:p>
    <w:p w14:paraId="6EB7809F">
      <w:pPr>
        <w:pStyle w:val="4"/>
        <w:keepNext w:val="0"/>
        <w:keepLines w:val="0"/>
        <w:pageBreakBefore w:val="0"/>
        <w:spacing w:before="200" w:after="100"/>
        <w:outlineLvl w:val="1"/>
      </w:pPr>
      <w:r>
        <w:rPr>
          <w:rFonts w:ascii="Times New Roman" w:hAnsi="Times New Roman" w:eastAsia="宋体" w:cs="Times New Roman"/>
          <w:b/>
          <w:color w:val="000000"/>
          <w:sz w:val="32"/>
        </w:rPr>
        <w:t>第八条 争议解决</w:t>
      </w:r>
    </w:p>
    <w:p w14:paraId="4C6E09B6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>本合同履行过程中发生的争议，双方应友好协商解决；协商不成的，任何一方均可向服务所在地人民法院提起诉讼。</w:t>
      </w:r>
    </w:p>
    <w:p w14:paraId="5040A54F">
      <w:pPr>
        <w:pStyle w:val="4"/>
        <w:keepNext w:val="0"/>
        <w:keepLines w:val="0"/>
        <w:pageBreakBefore w:val="0"/>
        <w:spacing w:before="200" w:after="100"/>
        <w:outlineLvl w:val="1"/>
      </w:pPr>
      <w:r>
        <w:rPr>
          <w:rFonts w:ascii="Times New Roman" w:hAnsi="Times New Roman" w:eastAsia="宋体" w:cs="Times New Roman"/>
          <w:b/>
          <w:color w:val="000000"/>
          <w:sz w:val="32"/>
        </w:rPr>
        <w:t>第九条 其他约定</w:t>
      </w:r>
    </w:p>
    <w:p w14:paraId="625890EC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>1. 本合同未尽事宜，双方可签订补充协议，补充协议与本合同具有同等法律效力。</w:t>
      </w:r>
    </w:p>
    <w:p w14:paraId="5F38FC50">
      <w:pPr>
        <w:spacing w:after="100" w:line="256" w:lineRule="auto"/>
        <w:ind w:firstLine="480"/>
      </w:pPr>
      <w:r>
        <w:rPr>
          <w:rFonts w:ascii="Times New Roman" w:hAnsi="Times New Roman" w:eastAsia="宋体" w:cs="Times New Roman"/>
          <w:color w:val="000000"/>
          <w:sz w:val="24"/>
        </w:rPr>
        <w:t>2. 本合同一式两份，甲乙双方各执一份，自双方签字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并</w:t>
      </w:r>
      <w:r>
        <w:rPr>
          <w:rFonts w:ascii="Times New Roman" w:hAnsi="Times New Roman" w:eastAsia="宋体" w:cs="Times New Roman"/>
          <w:color w:val="000000"/>
          <w:sz w:val="24"/>
        </w:rPr>
        <w:t>盖章之日起生效。</w:t>
      </w:r>
    </w:p>
    <w:tbl>
      <w:tblPr>
        <w:tblStyle w:val="34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1726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3E652E13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  <w:t>甲方（盖章）：</w:t>
            </w:r>
          </w:p>
        </w:tc>
        <w:tc>
          <w:tcPr>
            <w:tcW w:w="43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482559EB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  <w:t>乙方（盖章）：</w:t>
            </w:r>
          </w:p>
        </w:tc>
      </w:tr>
      <w:tr w14:paraId="2D2E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33D0D1C7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法定代表人/授权代表签字：</w:t>
            </w:r>
          </w:p>
        </w:tc>
        <w:tc>
          <w:tcPr>
            <w:tcW w:w="43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4448103F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法定代表人/授权代表签字：</w:t>
            </w:r>
          </w:p>
        </w:tc>
      </w:tr>
      <w:tr w14:paraId="2DC0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02964DF3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日期：______年______月______日</w:t>
            </w:r>
          </w:p>
        </w:tc>
        <w:tc>
          <w:tcPr>
            <w:tcW w:w="43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281F83C8">
            <w:pPr>
              <w:spacing w:line="240" w:lineRule="auto"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日期：______年______月______日</w:t>
            </w:r>
          </w:p>
        </w:tc>
      </w:tr>
    </w:tbl>
    <w:p w14:paraId="6FEE86C0">
      <w:pPr>
        <w:pStyle w:val="4"/>
        <w:keepNext w:val="0"/>
        <w:keepLines w:val="0"/>
        <w:pageBreakBefore w:val="0"/>
        <w:spacing w:before="200" w:after="100"/>
        <w:outlineLvl w:val="1"/>
      </w:pPr>
      <w:r>
        <w:rPr>
          <w:rFonts w:ascii="Times New Roman" w:hAnsi="Times New Roman" w:eastAsia="宋体" w:cs="Times New Roman"/>
          <w:b/>
          <w:color w:val="000000"/>
          <w:sz w:val="32"/>
        </w:rPr>
        <w:t>附件：</w:t>
      </w:r>
    </w:p>
    <w:p w14:paraId="0322AE25">
      <w:pPr>
        <w:pStyle w:val="16"/>
        <w:numPr>
          <w:ilvl w:val="0"/>
          <w:numId w:val="0"/>
        </w:numPr>
        <w:spacing w:after="80" w:line="256" w:lineRule="auto"/>
        <w:ind w:left="380" w:leftChars="0"/>
      </w:pPr>
      <w:r>
        <w:rPr>
          <w:rFonts w:ascii="Times New Roman" w:hAnsi="Times New Roman" w:eastAsia="宋体" w:cs="Times New Roman"/>
          <w:color w:val="000000"/>
          <w:sz w:val="24"/>
        </w:rPr>
        <w:t>乙方资质证明文件（营业执照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sz w:val="24"/>
        </w:rPr>
        <w:t>、人员资格证书、药物三证复印件）</w:t>
      </w:r>
    </w:p>
    <w:p w14:paraId="08B0195D">
      <w:pPr>
        <w:pStyle w:val="16"/>
        <w:numPr>
          <w:ilvl w:val="0"/>
          <w:numId w:val="0"/>
        </w:numPr>
        <w:spacing w:after="80" w:line="256" w:lineRule="auto"/>
        <w:ind w:left="380" w:leftChars="0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61D776E"/>
    <w:rsid w:val="193B0615"/>
    <w:rsid w:val="28575C58"/>
    <w:rsid w:val="34F614EA"/>
    <w:rsid w:val="44CD2E31"/>
    <w:rsid w:val="60C95D60"/>
    <w:rsid w:val="65DE47FA"/>
    <w:rsid w:val="6A6445B8"/>
    <w:rsid w:val="6B636864"/>
    <w:rsid w:val="7D0E5A5A"/>
    <w:rsid w:val="7F65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annotation text"/>
    <w:basedOn w:val="1"/>
    <w:semiHidden/>
    <w:unhideWhenUsed/>
    <w:qFormat/>
    <w:uiPriority w:val="99"/>
    <w:pPr>
      <w:jc w:val="left"/>
    </w:pPr>
  </w:style>
  <w:style w:type="paragraph" w:styleId="18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45"/>
    <w:unhideWhenUsed/>
    <w:qFormat/>
    <w:uiPriority w:val="99"/>
    <w:pPr>
      <w:spacing w:after="120"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6"/>
    <w:qFormat/>
    <w:uiPriority w:val="99"/>
  </w:style>
  <w:style w:type="character" w:customStyle="1" w:styleId="137">
    <w:name w:val="Footer Char"/>
    <w:basedOn w:val="133"/>
    <w:link w:val="25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20"/>
    <w:qFormat/>
    <w:uiPriority w:val="99"/>
  </w:style>
  <w:style w:type="character" w:customStyle="1" w:styleId="146">
    <w:name w:val="Body Text 2 Char"/>
    <w:basedOn w:val="133"/>
    <w:link w:val="29"/>
    <w:qFormat/>
    <w:uiPriority w:val="99"/>
  </w:style>
  <w:style w:type="character" w:customStyle="1" w:styleId="147">
    <w:name w:val="Body Text 3 Char"/>
    <w:basedOn w:val="133"/>
    <w:link w:val="18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ontractReview xmlns="http://schemas.wps.cn/vas-ai-hub/contract-review">
  <reviewItems>
    <reviewItem>
      <errorID>e6ff6144-5b1e-4e55-9540-711ae4fba45c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26956377</paraID>
      <start>2</start>
      <end>5</end>
      <status>modified</status>
      <modifiedWord>须具备</modifiedWord>
      <trackRevisions>false</trackRevisions>
    </reviewItem>
    <reviewItem>
      <errorID>bffa39e2-c0a5-468d-9a9d-cce1253669af</errorID>
      <errorWord>防制</errorWord>
      <group>L1_Word</group>
      <groupName>字词问题</groupName>
      <ability>L2_Typo</ability>
      <abilityName>字词错误</abilityName>
      <candidateList>
        <item>防治</item>
      </candidateList>
      <explain>存在发音相同字词的误用。</explain>
      <paraID>57EFBEE2</paraID>
      <start>12</start>
      <end>14</end>
      <status>modified</status>
      <modifiedWord>防治</modifiedWord>
      <trackRevisions>false</trackRevisions>
    </reviewItem>
    <reviewItem>
      <errorID>2cfcc066-5e2f-4fcf-ab0c-54e7dd65d4f2</errorID>
      <errorWord>〔1997〕第5号</errorWord>
      <group>L1_Knowledge</group>
      <groupName>知识性问题</groupName>
      <ability>L2_Knowledge</ability>
      <abilityName>其他知识</abilityName>
      <candidateList>
        <item>〔1997〕5号</item>
      </candidateList>
      <explain>发文字号格式错误。</explain>
      <paraID>3C4042A4</paraID>
      <start>30</start>
      <end>38</end>
      <status>modified</status>
      <modifiedWord>〔1997〕5号</modifiedWord>
      <trackRevisions>false</trackRevisions>
    </reviewItem>
    <reviewItem>
      <errorID>d0f1afe3-e09d-4d05-ab29-ef5eb932d7bc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63EA0DC2</paraID>
      <start>23</start>
      <end>26</end>
      <status>modified</status>
      <modifiedWord>须具备</modifiedWord>
      <trackRevisions>false</trackRevisions>
    </reviewItem>
    <reviewItem>
      <errorID>47721a24-cae0-418a-abb4-25d1b6485b1c</errorID>
      <errorWord>10%-30%</errorWord>
      <group>L1_Knowledge</group>
      <groupName>知识性问题</groupName>
      <ability>L2_Knowledge</ability>
      <abilityName>其他知识</abilityName>
      <candidateList>
        <item>10%—30%</item>
      </candidateList>
      <explain>1. “10%-30%”中的单位“%”仅出现在后一个数字上，容易引起歧义；根据《现代汉语标点符号数字用法规范手册》，数字表示范围两边需要使用统一的格式。2.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5DAA00D6</paraID>
      <start>59</start>
      <end>66</end>
      <status>modified</status>
      <modifiedWord>10%—30%</modifiedWord>
      <trackRevisions>false</trackRevisions>
    </reviewItem>
    <reviewItem>
      <errorID>430febaa-3c45-40c4-9db2-deb94e1e3d96</errorID>
      <errorWord>孳生</errorWord>
      <group>L1_Word</group>
      <groupName>字词问题</groupName>
      <ability>L2_Alias</ability>
      <abilityName>也作/曾用词</abilityName>
      <candidateList>
        <item>滋生</item>
      </candidateList>
      <explain>词汇[孳生]为不规范表述或旧称，其规范书面表述为[滋生]。</explain>
      <paraID>689FE9C5</paraID>
      <start>23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customXml/itemProps2.xml><?xml version="1.0" encoding="utf-8"?>
<ds:datastoreItem xmlns:ds="http://schemas.openxmlformats.org/officeDocument/2006/customXml" ds:itemID="{f83e424f-f74d-43a5-95e9-5a6f8b261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2176</Words>
  <Characters>2310</Characters>
  <Lines>0</Lines>
  <Paragraphs>0</Paragraphs>
  <TotalTime>5</TotalTime>
  <ScaleCrop>false</ScaleCrop>
  <LinksUpToDate>false</LinksUpToDate>
  <CharactersWithSpaces>2342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JENNIFER</cp:lastModifiedBy>
  <dcterms:modified xsi:type="dcterms:W3CDTF">2026-04-28T00:48:40Z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eyJoZGlkIjoiMGFiNjFjNWJjYjBhZGUzNmE5MDQ2MmQxM2RkMWFlYzUiLCJ1c2VySWQiOiIyOTU1MjgzNTQifQ==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34E93F05701F46CC84CC8D27B4EAA045_12</vt:lpwstr>
  </property>
</Properties>
</file>