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7489B">
      <w:pPr>
        <w:pStyle w:val="15"/>
        <w:rPr>
          <w:highlight w:val="none"/>
        </w:rPr>
      </w:pPr>
      <w:r>
        <w:rPr>
          <w:highlight w:val="none"/>
        </w:rPr>
        <w:t>广东省电子商务高级技工学校</w:t>
      </w:r>
      <w:r>
        <w:rPr>
          <w:highlight w:val="none"/>
        </w:rPr>
        <w:br w:type="textWrapping"/>
      </w:r>
      <w:r>
        <w:rPr>
          <w:highlight w:val="none"/>
        </w:rPr>
        <w:t>校园绿化服务项目用户需求书</w:t>
      </w:r>
    </w:p>
    <w:p w14:paraId="337B41D1">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项目概况</w:t>
      </w:r>
    </w:p>
    <w:p w14:paraId="2AE8B8C4">
      <w:pPr>
        <w:pStyle w:val="11"/>
        <w:rPr>
          <w:highlight w:val="none"/>
        </w:rPr>
      </w:pPr>
      <w:r>
        <w:rPr>
          <w:highlight w:val="none"/>
        </w:rPr>
        <w:t>项目名称：绿化服务</w:t>
      </w:r>
    </w:p>
    <w:p w14:paraId="751650C5">
      <w:pPr>
        <w:pStyle w:val="11"/>
        <w:rPr>
          <w:highlight w:val="none"/>
        </w:rPr>
      </w:pPr>
      <w:r>
        <w:rPr>
          <w:highlight w:val="none"/>
        </w:rPr>
        <w:t>服务地点：广东省广州市天河区大观中路大观街950号（广东省电子商务高级技工学校）</w:t>
      </w:r>
    </w:p>
    <w:p w14:paraId="32DCB43F">
      <w:pPr>
        <w:pStyle w:val="11"/>
        <w:rPr>
          <w:highlight w:val="none"/>
        </w:rPr>
      </w:pPr>
      <w:r>
        <w:rPr>
          <w:highlight w:val="none"/>
        </w:rPr>
        <w:t>委托服务期限：自合同签订之日起</w:t>
      </w:r>
      <w:r>
        <w:rPr>
          <w:highlight w:val="none"/>
        </w:rPr>
        <w:t>1年</w:t>
      </w:r>
    </w:p>
    <w:p w14:paraId="4BA76CA9">
      <w:pPr>
        <w:pStyle w:val="11"/>
        <w:rPr>
          <w:highlight w:val="none"/>
        </w:rPr>
      </w:pPr>
      <w:r>
        <w:rPr>
          <w:highlight w:val="none"/>
        </w:rPr>
        <w:t>项目总预算：按1年服务期限计算，预算金额</w:t>
      </w:r>
      <w:r>
        <w:rPr>
          <w:rFonts w:hint="eastAsia"/>
          <w:highlight w:val="none"/>
          <w:lang w:val="en-US" w:eastAsia="zh-CN"/>
        </w:rPr>
        <w:t>20.5</w:t>
      </w:r>
      <w:r>
        <w:rPr>
          <w:highlight w:val="none"/>
        </w:rPr>
        <w:t>万元</w:t>
      </w:r>
    </w:p>
    <w:p w14:paraId="0C5A24FE">
      <w:pPr>
        <w:pStyle w:val="11"/>
        <w:rPr>
          <w:highlight w:val="none"/>
        </w:rPr>
      </w:pPr>
      <w:r>
        <w:rPr>
          <w:highlight w:val="none"/>
        </w:rPr>
        <w:t>现场踏勘：具体时间待定，联系人林老师，联系电话020-82372508</w:t>
      </w:r>
    </w:p>
    <w:p w14:paraId="5F6FDCC5">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项目要求</w:t>
      </w:r>
    </w:p>
    <w:p w14:paraId="3BEEADED">
      <w:pPr>
        <w:pStyle w:val="11"/>
        <w:numPr>
          <w:ilvl w:val="0"/>
          <w:numId w:val="2"/>
        </w:numPr>
        <w:topLinePunct w:val="0"/>
        <w:ind w:left="0" w:leftChars="0" w:firstLine="480" w:firstLineChars="0"/>
        <w:rPr>
          <w:rFonts w:hint="eastAsia" w:ascii="宋体" w:hAnsi="宋体" w:eastAsia="宋体" w:cs="宋体"/>
          <w:b w:val="0"/>
          <w:highlight w:val="none"/>
        </w:rPr>
      </w:pPr>
      <w:r>
        <w:rPr>
          <w:highlight w:val="none"/>
        </w:rPr>
        <w:t>供应商需自行提供服务所需全部设备、工具、材料及办公设备，承担相关费用；施工设备、材料、劳务等均由供应商自行解决。</w:t>
      </w:r>
    </w:p>
    <w:p w14:paraId="676255E2">
      <w:pPr>
        <w:pStyle w:val="11"/>
        <w:numPr>
          <w:ilvl w:val="0"/>
          <w:numId w:val="2"/>
        </w:numPr>
        <w:topLinePunct w:val="0"/>
        <w:ind w:left="0" w:leftChars="0" w:firstLine="480" w:firstLineChars="0"/>
        <w:rPr>
          <w:rFonts w:hint="eastAsia" w:ascii="宋体" w:hAnsi="宋体" w:eastAsia="宋体" w:cs="宋体"/>
          <w:b w:val="0"/>
          <w:highlight w:val="none"/>
        </w:rPr>
      </w:pPr>
      <w:r>
        <w:rPr>
          <w:highlight w:val="none"/>
        </w:rPr>
        <w:t>费用支付方式为按季度付款：每季度工作量完成后10个工作日内，采购人向供应商支付服务费；每笔款项支付前，供应商需提供对应金额正式发票。</w:t>
      </w:r>
    </w:p>
    <w:p w14:paraId="4E57A3F9">
      <w:pPr>
        <w:pStyle w:val="11"/>
        <w:numPr>
          <w:ilvl w:val="0"/>
          <w:numId w:val="2"/>
        </w:numPr>
        <w:topLinePunct w:val="0"/>
        <w:ind w:left="0" w:leftChars="0" w:firstLine="480" w:firstLineChars="0"/>
        <w:rPr>
          <w:rFonts w:hint="eastAsia" w:ascii="宋体" w:hAnsi="宋体" w:eastAsia="宋体" w:cs="宋体"/>
          <w:b w:val="0"/>
          <w:highlight w:val="none"/>
        </w:rPr>
      </w:pPr>
      <w:r>
        <w:rPr>
          <w:highlight w:val="none"/>
        </w:rPr>
        <w:t>履行合同期间，若绿化养护面积有增减，双方可参照报价文件及合同约定，协商签订补充协议。</w:t>
      </w:r>
    </w:p>
    <w:p w14:paraId="7D36C449">
      <w:pPr>
        <w:pStyle w:val="11"/>
        <w:numPr>
          <w:ilvl w:val="0"/>
          <w:numId w:val="2"/>
        </w:numPr>
        <w:topLinePunct w:val="0"/>
        <w:ind w:left="0" w:leftChars="0" w:firstLine="480" w:firstLineChars="0"/>
        <w:rPr>
          <w:rFonts w:hint="eastAsia" w:ascii="宋体" w:hAnsi="宋体" w:eastAsia="宋体" w:cs="宋体"/>
          <w:b w:val="0"/>
          <w:highlight w:val="none"/>
        </w:rPr>
      </w:pPr>
      <w:r>
        <w:rPr>
          <w:highlight w:val="none"/>
        </w:rPr>
        <w:t>采购人提供现有工具房，供供应商养护人员中午休息及物料保管使用，供应商需自行承担该工具房水电费用；绿化保洁所用水</w:t>
      </w:r>
      <w:bookmarkStart w:id="0" w:name="_GoBack"/>
      <w:bookmarkEnd w:id="0"/>
      <w:r>
        <w:rPr>
          <w:highlight w:val="none"/>
        </w:rPr>
        <w:t>、电费用由采购人承担，供应商需杜绝浪费，若经采购人确认存在浪费行为，采购人有权按情节轻重处以罚款。</w:t>
      </w:r>
    </w:p>
    <w:p w14:paraId="52431C61">
      <w:pPr>
        <w:pStyle w:val="11"/>
        <w:numPr>
          <w:ilvl w:val="0"/>
          <w:numId w:val="2"/>
        </w:numPr>
        <w:topLinePunct w:val="0"/>
        <w:ind w:left="0" w:leftChars="0" w:firstLine="480" w:firstLineChars="0"/>
        <w:rPr>
          <w:rFonts w:hint="eastAsia" w:ascii="宋体" w:hAnsi="宋体" w:eastAsia="宋体" w:cs="宋体"/>
          <w:b w:val="0"/>
          <w:highlight w:val="none"/>
        </w:rPr>
      </w:pPr>
      <w:r>
        <w:rPr>
          <w:highlight w:val="none"/>
        </w:rPr>
        <w:t>合同签订当天，供应商需确保人员、设备全部到位，并按合同约定提供绿化服务。</w:t>
      </w:r>
    </w:p>
    <w:p w14:paraId="1C5B5032">
      <w:pPr>
        <w:pStyle w:val="11"/>
        <w:numPr>
          <w:ilvl w:val="0"/>
          <w:numId w:val="2"/>
        </w:numPr>
        <w:topLinePunct w:val="0"/>
        <w:ind w:left="0" w:leftChars="0" w:firstLine="480" w:firstLineChars="0"/>
        <w:rPr>
          <w:rFonts w:hint="eastAsia" w:ascii="宋体" w:hAnsi="宋体" w:eastAsia="宋体" w:cs="宋体"/>
          <w:b w:val="0"/>
          <w:highlight w:val="none"/>
        </w:rPr>
      </w:pPr>
      <w:r>
        <w:rPr>
          <w:highlight w:val="none"/>
        </w:rPr>
        <w:t>为确保项目按质、按量、按时有序实施，供应商需提供详细项目管理组织架构，以及主要人员资历、经验和过往承担项目情况。</w:t>
      </w:r>
    </w:p>
    <w:p w14:paraId="6DA6D6D9">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服务范围</w:t>
      </w:r>
    </w:p>
    <w:p w14:paraId="2CD9F14E">
      <w:pPr>
        <w:pStyle w:val="11"/>
        <w:rPr>
          <w:highlight w:val="none"/>
        </w:rPr>
      </w:pPr>
      <w:r>
        <w:rPr>
          <w:rFonts w:hint="eastAsia"/>
          <w:highlight w:val="none"/>
          <w:lang w:eastAsia="zh-CN"/>
        </w:rPr>
        <w:t>校园绿地面积</w:t>
      </w:r>
      <w:r>
        <w:rPr>
          <w:rFonts w:hint="eastAsia"/>
          <w:highlight w:val="none"/>
          <w:lang w:val="en-US" w:eastAsia="zh-CN"/>
        </w:rPr>
        <w:t>约33735㎡（详见下表《校园绿地明细表》），绿化养护范围涵盖校园内各类绿地草坪、绿化带、竹林、边坡、花草树木、园林景观及盆栽</w:t>
      </w:r>
      <w:r>
        <w:rPr>
          <w:highlight w:val="none"/>
        </w:rPr>
        <w:t>。</w:t>
      </w:r>
    </w:p>
    <w:tbl>
      <w:tblPr>
        <w:tblStyle w:val="16"/>
        <w:tblW w:w="5300" w:type="pct"/>
        <w:jc w:val="center"/>
        <w:tblLayout w:type="autofit"/>
        <w:tblCellMar>
          <w:top w:w="0" w:type="dxa"/>
          <w:left w:w="0" w:type="dxa"/>
          <w:bottom w:w="0" w:type="dxa"/>
          <w:right w:w="0" w:type="dxa"/>
        </w:tblCellMar>
      </w:tblPr>
      <w:tblGrid>
        <w:gridCol w:w="766"/>
        <w:gridCol w:w="961"/>
        <w:gridCol w:w="5529"/>
        <w:gridCol w:w="698"/>
        <w:gridCol w:w="876"/>
      </w:tblGrid>
      <w:tr w14:paraId="2C41AE58">
        <w:tblPrEx>
          <w:tblCellMar>
            <w:top w:w="0" w:type="dxa"/>
            <w:left w:w="0" w:type="dxa"/>
            <w:bottom w:w="0" w:type="dxa"/>
            <w:right w:w="0" w:type="dxa"/>
          </w:tblCellMar>
        </w:tblPrEx>
        <w:trPr>
          <w:trHeight w:val="545" w:hRule="atLeast"/>
          <w:tblHeader/>
          <w:jc w:val="center"/>
        </w:trPr>
        <w:tc>
          <w:tcPr>
            <w:tcW w:w="4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9AA31">
            <w:pPr>
              <w:widowControl/>
              <w:snapToGrid w:val="0"/>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序号</w:t>
            </w:r>
          </w:p>
        </w:tc>
        <w:tc>
          <w:tcPr>
            <w:tcW w:w="5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CE64F1">
            <w:pPr>
              <w:widowControl/>
              <w:snapToGrid w:val="0"/>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品种</w:t>
            </w:r>
          </w:p>
        </w:tc>
        <w:tc>
          <w:tcPr>
            <w:tcW w:w="313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76F9">
            <w:pPr>
              <w:widowControl/>
              <w:snapToGrid w:val="0"/>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植物名称</w:t>
            </w:r>
          </w:p>
        </w:tc>
        <w:tc>
          <w:tcPr>
            <w:tcW w:w="3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3B380B">
            <w:pPr>
              <w:widowControl/>
              <w:snapToGrid w:val="0"/>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单位</w:t>
            </w:r>
          </w:p>
        </w:tc>
        <w:tc>
          <w:tcPr>
            <w:tcW w:w="4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0C914B">
            <w:pPr>
              <w:widowControl/>
              <w:snapToGrid w:val="0"/>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数量</w:t>
            </w:r>
          </w:p>
        </w:tc>
      </w:tr>
      <w:tr w14:paraId="1368223B">
        <w:tblPrEx>
          <w:tblCellMar>
            <w:top w:w="0" w:type="dxa"/>
            <w:left w:w="0" w:type="dxa"/>
            <w:bottom w:w="0" w:type="dxa"/>
            <w:right w:w="0" w:type="dxa"/>
          </w:tblCellMar>
        </w:tblPrEx>
        <w:trPr>
          <w:trHeight w:val="2648" w:hRule="atLeast"/>
          <w:jc w:val="center"/>
        </w:trPr>
        <w:tc>
          <w:tcPr>
            <w:tcW w:w="4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630903">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1</w:t>
            </w:r>
          </w:p>
        </w:tc>
        <w:tc>
          <w:tcPr>
            <w:tcW w:w="5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80E943">
            <w:pPr>
              <w:widowControl/>
              <w:snapToGrid w:val="0"/>
              <w:ind w:left="0" w:leftChars="0" w:right="0" w:rightChars="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32"/>
                <w:highlight w:val="none"/>
                <w:lang w:bidi="ar"/>
              </w:rPr>
              <w:t>乔木</w:t>
            </w:r>
          </w:p>
        </w:tc>
        <w:tc>
          <w:tcPr>
            <w:tcW w:w="313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130A1F">
            <w:pPr>
              <w:snapToGrid w:val="0"/>
              <w:ind w:right="0" w:right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3棵树菠萝，7棵水蒲桃，11棵造型勒杜鹃，</w:t>
            </w:r>
            <w:r>
              <w:rPr>
                <w:rFonts w:hint="eastAsia" w:ascii="宋体" w:hAnsi="宋体" w:cs="宋体"/>
                <w:color w:val="000000"/>
                <w:sz w:val="21"/>
                <w:szCs w:val="21"/>
                <w:highlight w:val="none"/>
                <w:lang w:val="en-US" w:eastAsia="zh-CN"/>
              </w:rPr>
              <w:t>218</w:t>
            </w:r>
            <w:r>
              <w:rPr>
                <w:rFonts w:hint="eastAsia" w:ascii="宋体" w:hAnsi="宋体" w:eastAsia="宋体" w:cs="宋体"/>
                <w:color w:val="000000"/>
                <w:sz w:val="21"/>
                <w:szCs w:val="21"/>
                <w:highlight w:val="none"/>
              </w:rPr>
              <w:t>棵</w:t>
            </w:r>
            <w:r>
              <w:rPr>
                <w:rFonts w:hint="eastAsia" w:ascii="宋体" w:hAnsi="宋体" w:cs="宋体"/>
                <w:color w:val="000000"/>
                <w:sz w:val="21"/>
                <w:szCs w:val="21"/>
                <w:highlight w:val="none"/>
                <w:lang w:val="en-US" w:eastAsia="zh-CN"/>
              </w:rPr>
              <w:t>榕树（含</w:t>
            </w:r>
            <w:r>
              <w:rPr>
                <w:rFonts w:hint="eastAsia" w:ascii="宋体" w:hAnsi="宋体" w:eastAsia="宋体" w:cs="宋体"/>
                <w:color w:val="000000"/>
                <w:sz w:val="21"/>
                <w:szCs w:val="21"/>
                <w:highlight w:val="none"/>
              </w:rPr>
              <w:t>细叶榕</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3棵桉树，35棵大王椰，44棵芒果树，12棵桑叶树，5棵荔枝树，10棵大叶榕，2棵香樟，40棵麻楝树，7棵橡皮树，11棵龙眼树，5棵细叶榄仁，10棵蒲葵，3棵柳树，10棵紫荆树，5棵杜英树，32棵木棉树，10棵阴香，21棵马尾松，12棵南洋杉，18棵白兰树，32棵千层树，22棵假槟榔，6棵水松，9棵鸡蛋花，3棵萍婆树，9棵鱼尾葵，2棵散尾葵，1棵黄槐，2棵大叶紫薇，2棵泰国榕，40棵杂树，14棵美丽针葵，4棵雾莲果树，5棵蓝花楹，17棵苏铁，4棵高山榕，2棵鸡尾花树，1棵石榴树，1棵黄皮树，28棵黄花风铃</w:t>
            </w:r>
          </w:p>
        </w:tc>
        <w:tc>
          <w:tcPr>
            <w:tcW w:w="3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8F692">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棵</w:t>
            </w:r>
          </w:p>
        </w:tc>
        <w:tc>
          <w:tcPr>
            <w:tcW w:w="4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C1A23A">
            <w:pPr>
              <w:widowControl/>
              <w:snapToGrid w:val="0"/>
              <w:ind w:left="0" w:leftChars="0" w:right="0" w:rightChars="0" w:firstLine="0" w:firstLineChars="0"/>
              <w:jc w:val="center"/>
              <w:textAlignment w:val="center"/>
              <w:rPr>
                <w:rFonts w:hint="default" w:ascii="宋体" w:hAnsi="宋体" w:eastAsia="宋体" w:cs="宋体"/>
                <w:color w:val="000000"/>
                <w:sz w:val="21"/>
                <w:szCs w:val="32"/>
                <w:highlight w:val="none"/>
                <w:lang w:val="en-US" w:eastAsia="zh-CN"/>
              </w:rPr>
            </w:pPr>
            <w:r>
              <w:rPr>
                <w:rFonts w:hint="eastAsia" w:ascii="宋体" w:hAnsi="宋体" w:cs="宋体"/>
                <w:color w:val="000000"/>
                <w:kern w:val="0"/>
                <w:sz w:val="21"/>
                <w:szCs w:val="32"/>
                <w:highlight w:val="none"/>
                <w:lang w:val="en-US" w:eastAsia="zh-CN" w:bidi="ar"/>
              </w:rPr>
              <w:t>738</w:t>
            </w:r>
          </w:p>
        </w:tc>
      </w:tr>
      <w:tr w14:paraId="3DF93E5A">
        <w:tblPrEx>
          <w:tblCellMar>
            <w:top w:w="0" w:type="dxa"/>
            <w:left w:w="0" w:type="dxa"/>
            <w:bottom w:w="0" w:type="dxa"/>
            <w:right w:w="0" w:type="dxa"/>
          </w:tblCellMar>
        </w:tblPrEx>
        <w:trPr>
          <w:trHeight w:val="711" w:hRule="atLeast"/>
          <w:jc w:val="center"/>
        </w:trPr>
        <w:tc>
          <w:tcPr>
            <w:tcW w:w="4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ECF64">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2</w:t>
            </w:r>
          </w:p>
        </w:tc>
        <w:tc>
          <w:tcPr>
            <w:tcW w:w="5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451E1">
            <w:pPr>
              <w:widowControl/>
              <w:snapToGrid w:val="0"/>
              <w:ind w:left="0" w:leftChars="0" w:right="0" w:rightChars="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32"/>
                <w:highlight w:val="none"/>
                <w:lang w:bidi="ar"/>
              </w:rPr>
              <w:t>灌木</w:t>
            </w:r>
          </w:p>
        </w:tc>
        <w:tc>
          <w:tcPr>
            <w:tcW w:w="313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3E3201">
            <w:pPr>
              <w:widowControl/>
              <w:snapToGrid w:val="0"/>
              <w:ind w:right="0" w:rightChars="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43棵大红花球，48棵灰莉球，桂花21棵，琴叶珊瑚6棵，黄蓉球13棵，5丛竹，26棵红继木球</w:t>
            </w:r>
          </w:p>
        </w:tc>
        <w:tc>
          <w:tcPr>
            <w:tcW w:w="3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1BE996">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棵</w:t>
            </w:r>
          </w:p>
        </w:tc>
        <w:tc>
          <w:tcPr>
            <w:tcW w:w="4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D93AD3">
            <w:pPr>
              <w:widowControl/>
              <w:snapToGrid w:val="0"/>
              <w:ind w:left="0" w:leftChars="0" w:right="0" w:rightChars="0" w:firstLine="0" w:firstLineChars="0"/>
              <w:jc w:val="center"/>
              <w:textAlignment w:val="center"/>
              <w:rPr>
                <w:rFonts w:hint="default" w:ascii="宋体" w:hAnsi="宋体" w:eastAsia="宋体" w:cs="宋体"/>
                <w:color w:val="000000"/>
                <w:sz w:val="21"/>
                <w:szCs w:val="32"/>
                <w:highlight w:val="none"/>
                <w:lang w:val="en-US" w:eastAsia="zh-CN"/>
              </w:rPr>
            </w:pPr>
            <w:r>
              <w:rPr>
                <w:rFonts w:hint="eastAsia" w:ascii="宋体" w:hAnsi="宋体" w:cs="宋体"/>
                <w:color w:val="000000"/>
                <w:kern w:val="0"/>
                <w:sz w:val="21"/>
                <w:szCs w:val="32"/>
                <w:highlight w:val="none"/>
                <w:lang w:val="en-US" w:eastAsia="zh-CN" w:bidi="ar"/>
              </w:rPr>
              <w:t>162</w:t>
            </w:r>
          </w:p>
        </w:tc>
      </w:tr>
      <w:tr w14:paraId="0A230E32">
        <w:tblPrEx>
          <w:tblCellMar>
            <w:top w:w="0" w:type="dxa"/>
            <w:left w:w="0" w:type="dxa"/>
            <w:bottom w:w="0" w:type="dxa"/>
            <w:right w:w="0" w:type="dxa"/>
          </w:tblCellMar>
        </w:tblPrEx>
        <w:trPr>
          <w:trHeight w:val="578" w:hRule="atLeast"/>
          <w:jc w:val="center"/>
        </w:trPr>
        <w:tc>
          <w:tcPr>
            <w:tcW w:w="4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9BD16">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3</w:t>
            </w:r>
          </w:p>
        </w:tc>
        <w:tc>
          <w:tcPr>
            <w:tcW w:w="5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32091">
            <w:pPr>
              <w:widowControl/>
              <w:snapToGrid w:val="0"/>
              <w:ind w:left="0" w:leftChars="0" w:right="0" w:rightChars="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32"/>
                <w:highlight w:val="none"/>
                <w:lang w:bidi="ar"/>
              </w:rPr>
              <w:t>地被</w:t>
            </w:r>
          </w:p>
        </w:tc>
        <w:tc>
          <w:tcPr>
            <w:tcW w:w="313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5D1BCF">
            <w:pPr>
              <w:widowControl/>
              <w:snapToGrid w:val="0"/>
              <w:ind w:right="0" w:rightChars="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地花生，龙船花，蜘蛛兰，红被桂，九里香，黄榕，黄金叶，勒杜鹃等地被</w:t>
            </w:r>
          </w:p>
        </w:tc>
        <w:tc>
          <w:tcPr>
            <w:tcW w:w="3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D1E461">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w:t>
            </w:r>
          </w:p>
        </w:tc>
        <w:tc>
          <w:tcPr>
            <w:tcW w:w="4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A53DF7">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8875</w:t>
            </w:r>
          </w:p>
        </w:tc>
      </w:tr>
      <w:tr w14:paraId="3142F86F">
        <w:tblPrEx>
          <w:tblCellMar>
            <w:top w:w="0" w:type="dxa"/>
            <w:left w:w="0" w:type="dxa"/>
            <w:bottom w:w="0" w:type="dxa"/>
            <w:right w:w="0" w:type="dxa"/>
          </w:tblCellMar>
        </w:tblPrEx>
        <w:trPr>
          <w:trHeight w:val="545" w:hRule="atLeast"/>
          <w:jc w:val="center"/>
        </w:trPr>
        <w:tc>
          <w:tcPr>
            <w:tcW w:w="434"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08C90D">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4</w:t>
            </w:r>
          </w:p>
        </w:tc>
        <w:tc>
          <w:tcPr>
            <w:tcW w:w="544"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1EA043">
            <w:pPr>
              <w:widowControl/>
              <w:snapToGrid w:val="0"/>
              <w:ind w:left="0" w:leftChars="0" w:right="0" w:rightChars="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32"/>
                <w:highlight w:val="none"/>
                <w:lang w:bidi="ar"/>
              </w:rPr>
              <w:t>草地</w:t>
            </w:r>
          </w:p>
        </w:tc>
        <w:tc>
          <w:tcPr>
            <w:tcW w:w="313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342766">
            <w:pPr>
              <w:widowControl/>
              <w:snapToGrid w:val="0"/>
              <w:ind w:left="0" w:leftChars="0" w:right="0" w:rightChars="0" w:firstLine="0" w:firstLineChars="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台湾草</w:t>
            </w:r>
          </w:p>
        </w:tc>
        <w:tc>
          <w:tcPr>
            <w:tcW w:w="3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11754">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w:t>
            </w:r>
          </w:p>
        </w:tc>
        <w:tc>
          <w:tcPr>
            <w:tcW w:w="4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A9DD2F">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19765</w:t>
            </w:r>
          </w:p>
        </w:tc>
      </w:tr>
      <w:tr w14:paraId="76478A59">
        <w:tblPrEx>
          <w:tblCellMar>
            <w:top w:w="0" w:type="dxa"/>
            <w:left w:w="0" w:type="dxa"/>
            <w:bottom w:w="0" w:type="dxa"/>
            <w:right w:w="0" w:type="dxa"/>
          </w:tblCellMar>
        </w:tblPrEx>
        <w:trPr>
          <w:trHeight w:val="545" w:hRule="atLeast"/>
          <w:jc w:val="center"/>
        </w:trPr>
        <w:tc>
          <w:tcPr>
            <w:tcW w:w="434"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FE55D0">
            <w:pPr>
              <w:snapToGrid w:val="0"/>
              <w:ind w:left="0" w:leftChars="0" w:right="0" w:rightChars="0" w:firstLine="0" w:firstLineChars="0"/>
              <w:jc w:val="center"/>
              <w:rPr>
                <w:rFonts w:hint="eastAsia" w:ascii="宋体" w:hAnsi="宋体" w:eastAsia="宋体" w:cs="宋体"/>
                <w:color w:val="000000"/>
                <w:sz w:val="21"/>
                <w:szCs w:val="32"/>
                <w:highlight w:val="none"/>
              </w:rPr>
            </w:pPr>
          </w:p>
        </w:tc>
        <w:tc>
          <w:tcPr>
            <w:tcW w:w="544"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366F87">
            <w:pPr>
              <w:snapToGrid w:val="0"/>
              <w:ind w:left="0" w:leftChars="0" w:right="0" w:rightChars="0" w:firstLine="0" w:firstLineChars="0"/>
              <w:jc w:val="center"/>
              <w:rPr>
                <w:rFonts w:hint="eastAsia" w:ascii="宋体" w:hAnsi="宋体" w:eastAsia="宋体" w:cs="宋体"/>
                <w:color w:val="000000"/>
                <w:sz w:val="21"/>
                <w:szCs w:val="21"/>
                <w:highlight w:val="none"/>
              </w:rPr>
            </w:pPr>
          </w:p>
        </w:tc>
        <w:tc>
          <w:tcPr>
            <w:tcW w:w="313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9919DF">
            <w:pPr>
              <w:widowControl/>
              <w:snapToGrid w:val="0"/>
              <w:ind w:left="0" w:leftChars="0" w:right="0" w:rightChars="0" w:firstLine="0" w:firstLineChars="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大叶油草</w:t>
            </w:r>
          </w:p>
        </w:tc>
        <w:tc>
          <w:tcPr>
            <w:tcW w:w="3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4A1092">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w:t>
            </w:r>
          </w:p>
        </w:tc>
        <w:tc>
          <w:tcPr>
            <w:tcW w:w="4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6CAF2">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5095</w:t>
            </w:r>
          </w:p>
        </w:tc>
      </w:tr>
      <w:tr w14:paraId="21B8EE51">
        <w:tblPrEx>
          <w:tblCellMar>
            <w:top w:w="0" w:type="dxa"/>
            <w:left w:w="0" w:type="dxa"/>
            <w:bottom w:w="0" w:type="dxa"/>
            <w:right w:w="0" w:type="dxa"/>
          </w:tblCellMar>
        </w:tblPrEx>
        <w:trPr>
          <w:trHeight w:val="372" w:hRule="atLeast"/>
          <w:jc w:val="center"/>
        </w:trPr>
        <w:tc>
          <w:tcPr>
            <w:tcW w:w="43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F6139A">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5</w:t>
            </w:r>
          </w:p>
        </w:tc>
        <w:tc>
          <w:tcPr>
            <w:tcW w:w="5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0B6F85">
            <w:pPr>
              <w:widowControl/>
              <w:snapToGrid w:val="0"/>
              <w:ind w:left="0" w:leftChars="0" w:right="0" w:rightChars="0" w:firstLine="0" w:firstLineChars="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裸露地面</w:t>
            </w:r>
          </w:p>
        </w:tc>
        <w:tc>
          <w:tcPr>
            <w:tcW w:w="313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BD145D">
            <w:pPr>
              <w:widowControl/>
              <w:snapToGrid w:val="0"/>
              <w:ind w:left="0" w:leftChars="0" w:right="0" w:rightChars="0" w:firstLine="0" w:firstLineChars="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暂时不做解决</w:t>
            </w:r>
          </w:p>
        </w:tc>
        <w:tc>
          <w:tcPr>
            <w:tcW w:w="39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F014C1">
            <w:pPr>
              <w:widowControl/>
              <w:snapToGrid w:val="0"/>
              <w:ind w:left="0" w:leftChars="0" w:right="0" w:rightChars="0" w:firstLine="0" w:firstLineChars="0"/>
              <w:jc w:val="center"/>
              <w:textAlignment w:val="center"/>
              <w:rPr>
                <w:rFonts w:hint="eastAsia" w:ascii="宋体" w:hAnsi="宋体" w:eastAsia="宋体" w:cs="宋体"/>
                <w:color w:val="000000"/>
                <w:sz w:val="21"/>
                <w:szCs w:val="32"/>
                <w:highlight w:val="none"/>
              </w:rPr>
            </w:pPr>
            <w:r>
              <w:rPr>
                <w:rFonts w:hint="eastAsia" w:ascii="宋体" w:hAnsi="宋体" w:eastAsia="宋体" w:cs="宋体"/>
                <w:color w:val="000000"/>
                <w:kern w:val="0"/>
                <w:sz w:val="21"/>
                <w:szCs w:val="32"/>
                <w:highlight w:val="none"/>
                <w:lang w:bidi="ar"/>
              </w:rPr>
              <w:t>㎡</w:t>
            </w:r>
          </w:p>
        </w:tc>
        <w:tc>
          <w:tcPr>
            <w:tcW w:w="49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B056E7">
            <w:pPr>
              <w:widowControl/>
              <w:snapToGrid w:val="0"/>
              <w:ind w:left="0" w:leftChars="0" w:right="0" w:rightChars="0" w:firstLine="0" w:firstLineChars="0"/>
              <w:jc w:val="center"/>
              <w:textAlignment w:val="center"/>
              <w:rPr>
                <w:rFonts w:hint="default" w:ascii="宋体" w:hAnsi="宋体" w:eastAsia="宋体" w:cs="宋体"/>
                <w:color w:val="000000"/>
                <w:sz w:val="21"/>
                <w:szCs w:val="32"/>
                <w:highlight w:val="none"/>
                <w:lang w:val="en-US" w:eastAsia="zh-CN"/>
              </w:rPr>
            </w:pPr>
            <w:r>
              <w:rPr>
                <w:rFonts w:hint="eastAsia" w:ascii="宋体" w:hAnsi="宋体" w:cs="宋体"/>
                <w:color w:val="000000"/>
                <w:kern w:val="0"/>
                <w:sz w:val="21"/>
                <w:szCs w:val="32"/>
                <w:highlight w:val="none"/>
                <w:lang w:val="en-US" w:eastAsia="zh-CN" w:bidi="ar"/>
              </w:rPr>
              <w:t>2900</w:t>
            </w:r>
          </w:p>
        </w:tc>
      </w:tr>
      <w:tr w14:paraId="5F71D46A">
        <w:tblPrEx>
          <w:tblCellMar>
            <w:top w:w="0" w:type="dxa"/>
            <w:left w:w="0" w:type="dxa"/>
            <w:bottom w:w="0" w:type="dxa"/>
            <w:right w:w="0" w:type="dxa"/>
          </w:tblCellMar>
        </w:tblPrEx>
        <w:trPr>
          <w:trHeight w:val="47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C4E504">
            <w:pPr>
              <w:widowControl/>
              <w:snapToGrid w:val="0"/>
              <w:ind w:left="0" w:leftChars="0" w:right="0" w:rightChars="0" w:firstLine="0" w:firstLineChars="0"/>
              <w:jc w:val="center"/>
              <w:textAlignment w:val="center"/>
              <w:rPr>
                <w:rFonts w:hint="eastAsia" w:ascii="宋体" w:hAnsi="宋体" w:eastAsia="宋体" w:cs="宋体"/>
                <w:b/>
                <w:color w:val="000000"/>
                <w:sz w:val="21"/>
                <w:szCs w:val="28"/>
                <w:highlight w:val="none"/>
              </w:rPr>
            </w:pPr>
            <w:r>
              <w:rPr>
                <w:rFonts w:hint="eastAsia" w:ascii="宋体" w:hAnsi="宋体" w:eastAsia="宋体" w:cs="宋体"/>
                <w:b/>
                <w:color w:val="000000"/>
                <w:kern w:val="0"/>
                <w:sz w:val="21"/>
                <w:szCs w:val="28"/>
                <w:highlight w:val="none"/>
                <w:lang w:bidi="ar"/>
              </w:rPr>
              <w:t>合计：</w:t>
            </w:r>
            <w:r>
              <w:rPr>
                <w:rFonts w:hint="eastAsia" w:ascii="宋体" w:hAnsi="宋体" w:cs="宋体"/>
                <w:b/>
                <w:color w:val="000000"/>
                <w:kern w:val="0"/>
                <w:sz w:val="21"/>
                <w:szCs w:val="28"/>
                <w:highlight w:val="none"/>
                <w:lang w:val="en-US" w:eastAsia="zh-CN" w:bidi="ar"/>
              </w:rPr>
              <w:t>约33735</w:t>
            </w:r>
            <w:r>
              <w:rPr>
                <w:rFonts w:hint="eastAsia" w:ascii="宋体" w:hAnsi="宋体" w:eastAsia="宋体" w:cs="宋体"/>
                <w:b/>
                <w:color w:val="000000"/>
                <w:kern w:val="0"/>
                <w:sz w:val="21"/>
                <w:szCs w:val="28"/>
                <w:highlight w:val="none"/>
                <w:lang w:bidi="ar"/>
              </w:rPr>
              <w:t>㎡（不含：裸露地面</w:t>
            </w:r>
            <w:r>
              <w:rPr>
                <w:rFonts w:hint="eastAsia" w:ascii="宋体" w:hAnsi="宋体" w:cs="宋体"/>
                <w:b/>
                <w:color w:val="000000"/>
                <w:kern w:val="0"/>
                <w:sz w:val="21"/>
                <w:szCs w:val="28"/>
                <w:highlight w:val="none"/>
                <w:lang w:val="en-US" w:eastAsia="zh-CN" w:bidi="ar"/>
              </w:rPr>
              <w:t>约2900</w:t>
            </w:r>
            <w:r>
              <w:rPr>
                <w:rFonts w:hint="eastAsia" w:ascii="宋体" w:hAnsi="宋体" w:eastAsia="宋体" w:cs="宋体"/>
                <w:b/>
                <w:color w:val="000000"/>
                <w:kern w:val="0"/>
                <w:sz w:val="21"/>
                <w:szCs w:val="28"/>
                <w:highlight w:val="none"/>
                <w:lang w:bidi="ar"/>
              </w:rPr>
              <w:t>㎡）</w:t>
            </w:r>
          </w:p>
        </w:tc>
      </w:tr>
    </w:tbl>
    <w:p w14:paraId="3037AB6B">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服务要求</w:t>
      </w:r>
    </w:p>
    <w:p w14:paraId="27CBABDD">
      <w:pPr>
        <w:pStyle w:val="11"/>
        <w:numPr>
          <w:ilvl w:val="0"/>
          <w:numId w:val="3"/>
        </w:numPr>
        <w:ind w:left="0" w:leftChars="0" w:firstLine="480" w:firstLineChars="0"/>
        <w:rPr>
          <w:b w:val="0"/>
          <w:highlight w:val="none"/>
        </w:rPr>
      </w:pPr>
      <w:r>
        <w:rPr>
          <w:highlight w:val="none"/>
        </w:rPr>
        <w:t>修剪：根据各类植物的生长特点、环境、景观要求，适时修剪。不同路段车辆等情况确定下缘线高度和树冠体量，树高一般控制在10～17m之间，注意不能影响高压线、路灯和交通指示牌；单位附属绿地内种植的树木的枝叶伸向城市公共道路的，要及时修道；修剪时按操作规程进行；荫枝、下垂枝、下缘线下的萌蘖枝及干枯枝叶要及时剪除。部分植物的修剪若需借助机械完成的，其中机械费用由供应商承担支付。</w:t>
      </w:r>
    </w:p>
    <w:p w14:paraId="18DFC6D1">
      <w:pPr>
        <w:pStyle w:val="11"/>
        <w:numPr>
          <w:ilvl w:val="0"/>
          <w:numId w:val="3"/>
        </w:numPr>
        <w:ind w:left="0" w:leftChars="0" w:firstLine="480" w:firstLineChars="0"/>
        <w:rPr>
          <w:b w:val="0"/>
          <w:highlight w:val="none"/>
        </w:rPr>
      </w:pPr>
      <w:r>
        <w:rPr>
          <w:highlight w:val="none"/>
        </w:rPr>
        <w:t>灌溉、施肥：根据植物的生长需要加强淋水和施肥，保证肥水充足，肥料的施用方法和用量科学，防止过量或不均匀引起肥伤。特别在10月至翌年2月份要勤淋水多施肥，适当进行根外追肥，使植物保持优良的长势，度过干旱的秋、冬季。</w:t>
      </w:r>
    </w:p>
    <w:p w14:paraId="61B1F9E7">
      <w:pPr>
        <w:pStyle w:val="11"/>
        <w:numPr>
          <w:ilvl w:val="0"/>
          <w:numId w:val="3"/>
        </w:numPr>
        <w:ind w:left="0" w:leftChars="0" w:firstLine="480" w:firstLineChars="0"/>
        <w:rPr>
          <w:b w:val="0"/>
          <w:highlight w:val="none"/>
        </w:rPr>
      </w:pPr>
      <w:r>
        <w:rPr>
          <w:highlight w:val="none"/>
        </w:rPr>
        <w:t>除草：各类绿地、绿带要结合松土及时清理各类杂草，叶色青绿，无枯黄叶；定期修剪，使草的高度基本一致（台湾草6厘米以下，大叶油草10厘米以下），边缘整齐；适时淋水施肥；定期补种和除杂草，杂草率不超过20%</w:t>
      </w:r>
      <w:r>
        <w:rPr>
          <w:rFonts w:hint="eastAsia"/>
          <w:highlight w:val="none"/>
          <w:lang w:eastAsia="zh-CN"/>
        </w:rPr>
        <w:t>；</w:t>
      </w:r>
      <w:r>
        <w:rPr>
          <w:highlight w:val="none"/>
        </w:rPr>
        <w:t>及时填平坑洼地，草坪内无坑洼积水，平整美观。</w:t>
      </w:r>
    </w:p>
    <w:p w14:paraId="416C151E">
      <w:pPr>
        <w:pStyle w:val="11"/>
        <w:numPr>
          <w:ilvl w:val="0"/>
          <w:numId w:val="3"/>
        </w:numPr>
        <w:ind w:left="0" w:leftChars="0" w:firstLine="480" w:firstLineChars="0"/>
        <w:rPr>
          <w:b w:val="0"/>
          <w:highlight w:val="none"/>
        </w:rPr>
      </w:pPr>
      <w:r>
        <w:rPr>
          <w:rFonts w:hint="eastAsia"/>
          <w:highlight w:val="none"/>
          <w:lang w:val="en-US" w:eastAsia="zh-CN"/>
        </w:rPr>
        <w:t>清理：</w:t>
      </w:r>
      <w:r>
        <w:rPr>
          <w:rFonts w:hint="eastAsia"/>
          <w:b w:val="0"/>
          <w:highlight w:val="none"/>
          <w:lang w:eastAsia="zh-CN"/>
        </w:rPr>
        <w:t>及时清理绿化带内的枯枝落叶、杂物垃圾等，保持绿化区域干净整洁。对于修剪产生的枝叶等废弃物，需当日清理完毕，不得在校园内随意堆放。在遇到台风、暴雨等恶劣天气后，要对绿化区域进行全面清理，扶正倒伏的树木、花草，清理断枝落叶，恢复整洁美观。</w:t>
      </w:r>
    </w:p>
    <w:p w14:paraId="28913AE4">
      <w:pPr>
        <w:pStyle w:val="11"/>
        <w:numPr>
          <w:ilvl w:val="0"/>
          <w:numId w:val="3"/>
        </w:numPr>
        <w:ind w:left="0" w:leftChars="0" w:firstLine="480" w:firstLineChars="0"/>
        <w:rPr>
          <w:b w:val="0"/>
          <w:highlight w:val="none"/>
        </w:rPr>
      </w:pPr>
      <w:r>
        <w:rPr>
          <w:highlight w:val="none"/>
        </w:rPr>
        <w:t>补植、改植</w:t>
      </w:r>
    </w:p>
    <w:p w14:paraId="00D9EA35">
      <w:pPr>
        <w:pStyle w:val="11"/>
        <w:numPr>
          <w:ilvl w:val="0"/>
          <w:numId w:val="4"/>
        </w:numPr>
        <w:topLinePunct w:val="0"/>
        <w:ind w:left="0" w:leftChars="0" w:firstLine="480" w:firstLineChars="0"/>
        <w:rPr>
          <w:rFonts w:hint="eastAsia" w:ascii="宋体" w:hAnsi="宋体" w:eastAsia="宋体" w:cs="宋体"/>
          <w:b w:val="0"/>
          <w:highlight w:val="none"/>
        </w:rPr>
      </w:pPr>
      <w:r>
        <w:rPr>
          <w:highlight w:val="none"/>
        </w:rPr>
        <w:t>草坪</w:t>
      </w:r>
    </w:p>
    <w:p w14:paraId="7EE46C7E">
      <w:pPr>
        <w:pStyle w:val="11"/>
        <w:rPr>
          <w:highlight w:val="none"/>
        </w:rPr>
      </w:pPr>
      <w:r>
        <w:rPr>
          <w:highlight w:val="none"/>
        </w:rPr>
        <w:t>对被破坏或其他原因引起死亡的草坪植物及时补植，使草坪保持完整，无裸露地。补植要补与原草坪相同的草种，适当密植，补植后加强保养，保证两个月内覆盖率95%以上。</w:t>
      </w:r>
    </w:p>
    <w:p w14:paraId="52FF7198">
      <w:pPr>
        <w:pStyle w:val="11"/>
        <w:numPr>
          <w:ilvl w:val="0"/>
          <w:numId w:val="4"/>
        </w:numPr>
        <w:topLinePunct w:val="0"/>
        <w:ind w:left="0" w:leftChars="0" w:firstLine="480" w:firstLineChars="0"/>
        <w:rPr>
          <w:rFonts w:hint="eastAsia" w:ascii="宋体" w:hAnsi="宋体" w:eastAsia="宋体" w:cs="宋体"/>
          <w:b w:val="0"/>
          <w:highlight w:val="none"/>
        </w:rPr>
      </w:pPr>
      <w:r>
        <w:rPr>
          <w:highlight w:val="none"/>
        </w:rPr>
        <w:t>灌木和花卉</w:t>
      </w:r>
    </w:p>
    <w:p w14:paraId="5213EF6B">
      <w:pPr>
        <w:pStyle w:val="11"/>
        <w:rPr>
          <w:highlight w:val="none"/>
        </w:rPr>
      </w:pPr>
      <w:r>
        <w:rPr>
          <w:highlight w:val="none"/>
        </w:rPr>
        <w:t>及时清理死苗，一周内补植回原来的种类并力求规格与原来植株接近，以保证优良的景观效果。补植按照种植规范进行，施足基肥并加强淋水等保养措施，保证成活率达95%以上。已呈老化或明显与周围环境不协调的灌木和花卉应及时进行改植。</w:t>
      </w:r>
    </w:p>
    <w:p w14:paraId="175D90DA">
      <w:pPr>
        <w:pStyle w:val="11"/>
        <w:numPr>
          <w:ilvl w:val="0"/>
          <w:numId w:val="3"/>
        </w:numPr>
        <w:ind w:left="0" w:leftChars="0" w:firstLine="480" w:firstLineChars="0"/>
        <w:rPr>
          <w:b w:val="0"/>
          <w:highlight w:val="none"/>
        </w:rPr>
      </w:pPr>
      <w:r>
        <w:rPr>
          <w:highlight w:val="none"/>
        </w:rPr>
        <w:t>病虫害防治：及时做好病虫害的防治工作，以防为主，精心管养，使植物增强抗病虫能力，经常检查，早发现早处理，确保病虫危害最严重时的危害率控制在5%以下。防治过</w:t>
      </w:r>
      <w:r>
        <w:rPr>
          <w:highlight w:val="none"/>
        </w:rPr>
        <w:t>程中采取综合防治策略，涵盖物理人工防治、生物防治与化学防治等方法，其中物理人工防治需定期对学校树木涂抹涂白剂，以物理手段保护树干、预防病虫害；优先采用生物防治办法，减少对环境的污染；若使用化学防治，喷药作业一般在晚上进行，且药物选择、用量及对环境的影响需严格符合环保要求和标准，全面防止病虫害蔓延影响植物生长。</w:t>
      </w:r>
    </w:p>
    <w:p w14:paraId="21627E88">
      <w:pPr>
        <w:pStyle w:val="11"/>
        <w:numPr>
          <w:ilvl w:val="0"/>
          <w:numId w:val="3"/>
        </w:numPr>
        <w:ind w:left="0" w:leftChars="0" w:firstLine="480" w:firstLineChars="0"/>
        <w:rPr>
          <w:b w:val="0"/>
          <w:highlight w:val="none"/>
        </w:rPr>
      </w:pPr>
      <w:r>
        <w:rPr>
          <w:highlight w:val="none"/>
        </w:rPr>
        <w:t>防台风及意外：做好防台风工作。台风前加强防御措施，合理修剪，加固护树设施，以增强抵御台风的能力。台风吹袭期间迅速清理倒树断枝，疏通道路。台风后及时进行扶树、护树，补好残缺，清除断枝、落叶和垃圾，使绿化景观尽快恢复。遇雷电风雨、人畜危害而使树木歪斜或倒树断枝，要立即处理、疏通道路。</w:t>
      </w:r>
    </w:p>
    <w:p w14:paraId="5FAF5BA0">
      <w:pPr>
        <w:pStyle w:val="11"/>
        <w:numPr>
          <w:ilvl w:val="0"/>
          <w:numId w:val="3"/>
        </w:numPr>
        <w:ind w:left="0" w:leftChars="0" w:firstLine="480" w:firstLineChars="0"/>
        <w:rPr>
          <w:b w:val="0"/>
          <w:highlight w:val="none"/>
        </w:rPr>
      </w:pPr>
      <w:r>
        <w:rPr>
          <w:highlight w:val="none"/>
        </w:rPr>
        <w:t>绿化垃圾清运：</w:t>
      </w:r>
      <w:r>
        <w:rPr>
          <w:rFonts w:hint="eastAsia"/>
          <w:highlight w:val="none"/>
          <w:lang w:eastAsia="zh-CN"/>
        </w:rPr>
        <w:t>绿化地内因绿化修剪而产生的植物碎片、树枝（包括枯枝烂叶）等进行清理与外运，</w:t>
      </w:r>
      <w:r>
        <w:rPr>
          <w:rFonts w:hint="eastAsia"/>
          <w:highlight w:val="none"/>
          <w:lang w:val="en-US" w:eastAsia="zh-CN"/>
        </w:rPr>
        <w:t>确保每年至少四次清运。</w:t>
      </w:r>
    </w:p>
    <w:p w14:paraId="66A8B45E">
      <w:pPr>
        <w:pStyle w:val="11"/>
        <w:numPr>
          <w:ilvl w:val="0"/>
          <w:numId w:val="3"/>
        </w:numPr>
        <w:ind w:left="0" w:leftChars="0" w:firstLine="480" w:firstLineChars="0"/>
        <w:rPr>
          <w:b w:val="0"/>
          <w:highlight w:val="none"/>
        </w:rPr>
      </w:pPr>
      <w:r>
        <w:rPr>
          <w:highlight w:val="none"/>
        </w:rPr>
        <w:t>养护人员：必须保证平均每天常派不少于2名（含2名）具有较好的绿化工作经验的绿化专业技工对甲方校内绿化维护保养工作进行技术指导及实施，加强计划性工作安排，确保植物、树木的高标准维护保养和管理，绿化专业技工年龄必须在60岁以下。</w:t>
      </w:r>
    </w:p>
    <w:p w14:paraId="2340E474">
      <w:pPr>
        <w:pStyle w:val="11"/>
        <w:numPr>
          <w:ilvl w:val="0"/>
          <w:numId w:val="3"/>
        </w:numPr>
        <w:ind w:left="0" w:leftChars="0" w:firstLine="480" w:firstLineChars="0"/>
        <w:rPr>
          <w:b w:val="0"/>
          <w:highlight w:val="none"/>
        </w:rPr>
      </w:pPr>
      <w:r>
        <w:rPr>
          <w:highlight w:val="none"/>
        </w:rPr>
        <w:t>因采购人原因（楼房、道路、管道等新建、改造等）造成需要补种补绿的内容，其面积在50㎡（含50㎡）以内的，按采购人要求无偿进行绿化，50㎡以上的由采购人支付相关费用。</w:t>
      </w:r>
    </w:p>
    <w:p w14:paraId="4E9F7DB0">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劳动保障管理</w:t>
      </w:r>
    </w:p>
    <w:p w14:paraId="3FB58423">
      <w:pPr>
        <w:pStyle w:val="11"/>
        <w:rPr>
          <w:highlight w:val="none"/>
        </w:rPr>
      </w:pPr>
      <w:r>
        <w:rPr>
          <w:highlight w:val="none"/>
        </w:rPr>
        <w:t>供应商严格按照《中华人民共和国劳动法》《中华人民共和国劳动合同法》为聘用职工及派驻到采购人工作的人员办理相应的社会保险并足额缴纳社会保险以及其他相关费用，建立和健全员工劳动保障制度，严格执行国家、地方有关劳动保障的法律法规，承担所聘员工的劳动保护责任。</w:t>
      </w:r>
    </w:p>
    <w:p w14:paraId="27CE5538">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供应商的人员、制度和工作管理</w:t>
      </w:r>
    </w:p>
    <w:p w14:paraId="002FF6FE">
      <w:pPr>
        <w:pStyle w:val="11"/>
        <w:numPr>
          <w:ilvl w:val="0"/>
          <w:numId w:val="5"/>
        </w:numPr>
        <w:ind w:left="0" w:leftChars="0" w:firstLine="480" w:firstLineChars="0"/>
        <w:rPr>
          <w:b w:val="0"/>
          <w:highlight w:val="none"/>
        </w:rPr>
      </w:pPr>
      <w:r>
        <w:rPr>
          <w:highlight w:val="none"/>
        </w:rPr>
        <w:t>供应商服从国家、地方有关校园绿化保洁方面的法律、法规以及管理办法，自觉接受采购人及有关部门的监督和管理。</w:t>
      </w:r>
    </w:p>
    <w:p w14:paraId="3C0367B8">
      <w:pPr>
        <w:pStyle w:val="11"/>
        <w:numPr>
          <w:ilvl w:val="0"/>
          <w:numId w:val="5"/>
        </w:numPr>
        <w:ind w:left="0" w:leftChars="0" w:firstLine="480" w:firstLineChars="0"/>
        <w:rPr>
          <w:b w:val="0"/>
          <w:highlight w:val="none"/>
        </w:rPr>
      </w:pPr>
      <w:r>
        <w:rPr>
          <w:highlight w:val="none"/>
        </w:rPr>
        <w:t>供应商所聘人员符合国家、广东省以及广州市有关用工规定，身体健康，遵纪守法，无违法、犯罪记录。</w:t>
      </w:r>
    </w:p>
    <w:p w14:paraId="7A865296">
      <w:pPr>
        <w:pStyle w:val="11"/>
        <w:numPr>
          <w:ilvl w:val="0"/>
          <w:numId w:val="5"/>
        </w:numPr>
        <w:ind w:left="0" w:leftChars="0" w:firstLine="480" w:firstLineChars="0"/>
        <w:rPr>
          <w:b w:val="0"/>
          <w:highlight w:val="none"/>
        </w:rPr>
      </w:pPr>
      <w:r>
        <w:rPr>
          <w:highlight w:val="none"/>
        </w:rPr>
        <w:t>供应商所聘人员办理相关证件并持证进出采购人各大楼、学校，自觉接受学校保卫人员的检查、监督和管理。</w:t>
      </w:r>
    </w:p>
    <w:p w14:paraId="75AE7CDC">
      <w:pPr>
        <w:pStyle w:val="11"/>
        <w:numPr>
          <w:ilvl w:val="0"/>
          <w:numId w:val="5"/>
        </w:numPr>
        <w:ind w:left="0" w:leftChars="0" w:firstLine="480" w:firstLineChars="0"/>
        <w:rPr>
          <w:b w:val="0"/>
          <w:highlight w:val="none"/>
        </w:rPr>
      </w:pPr>
      <w:r>
        <w:rPr>
          <w:highlight w:val="none"/>
        </w:rPr>
        <w:t>供应商所聘人员衣冠整洁，佩戴证件，文明作业，避免妨碍他人，雨天、夜间、紧急及特殊作业科学摆放、佩戴反光、警告、安全等标志。</w:t>
      </w:r>
    </w:p>
    <w:p w14:paraId="55E7FC24">
      <w:pPr>
        <w:pStyle w:val="11"/>
        <w:numPr>
          <w:ilvl w:val="0"/>
          <w:numId w:val="5"/>
        </w:numPr>
        <w:ind w:left="0" w:leftChars="0" w:firstLine="480" w:firstLineChars="0"/>
        <w:rPr>
          <w:b w:val="0"/>
          <w:highlight w:val="none"/>
        </w:rPr>
      </w:pPr>
      <w:r>
        <w:rPr>
          <w:highlight w:val="none"/>
        </w:rPr>
        <w:t>供应商员工遵守学校的规章制度，如有违反，则按照学校的有关规定处罚。</w:t>
      </w:r>
    </w:p>
    <w:p w14:paraId="00A62E85">
      <w:pPr>
        <w:pStyle w:val="11"/>
        <w:numPr>
          <w:ilvl w:val="0"/>
          <w:numId w:val="5"/>
        </w:numPr>
        <w:ind w:left="0" w:leftChars="0" w:firstLine="480" w:firstLineChars="0"/>
        <w:rPr>
          <w:b w:val="0"/>
          <w:highlight w:val="none"/>
        </w:rPr>
      </w:pPr>
      <w:r>
        <w:rPr>
          <w:highlight w:val="none"/>
        </w:rPr>
        <w:t>供应商制订相关的管理制度、操作规程、考核办法，约束员工的行为，规范员工的操作，促进员工的竞争。</w:t>
      </w:r>
    </w:p>
    <w:p w14:paraId="17E8102B">
      <w:pPr>
        <w:pStyle w:val="11"/>
        <w:numPr>
          <w:ilvl w:val="0"/>
          <w:numId w:val="5"/>
        </w:numPr>
        <w:ind w:left="0" w:leftChars="0" w:firstLine="480" w:firstLineChars="0"/>
        <w:rPr>
          <w:b w:val="0"/>
          <w:highlight w:val="none"/>
        </w:rPr>
      </w:pPr>
      <w:r>
        <w:rPr>
          <w:highlight w:val="none"/>
        </w:rPr>
        <w:t>供应商根据实际工作量指派相应的专业人员，配足人力、物力。</w:t>
      </w:r>
    </w:p>
    <w:p w14:paraId="5196495A">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责任处罚</w:t>
      </w:r>
    </w:p>
    <w:p w14:paraId="4024EAF5">
      <w:pPr>
        <w:pStyle w:val="11"/>
        <w:numPr>
          <w:ilvl w:val="0"/>
          <w:numId w:val="6"/>
        </w:numPr>
        <w:ind w:left="0" w:leftChars="0" w:firstLine="480" w:firstLineChars="0"/>
        <w:rPr>
          <w:b w:val="0"/>
          <w:highlight w:val="none"/>
        </w:rPr>
      </w:pPr>
      <w:r>
        <w:rPr>
          <w:highlight w:val="none"/>
        </w:rPr>
        <w:t>经检查，供应商达不到采购人规定的管理责任、质量要求，或者工作态度恶劣，采取处理措施迟缓，供应商没有限期内进行有效整改的，第一次采购人发警告，第二次采购人有权扣发当月款额的10%作为违约金；累积出现警告3次的（含3次），采购人有权解除合同。</w:t>
      </w:r>
    </w:p>
    <w:p w14:paraId="33CF10BC">
      <w:pPr>
        <w:pStyle w:val="11"/>
        <w:numPr>
          <w:ilvl w:val="0"/>
          <w:numId w:val="6"/>
        </w:numPr>
        <w:ind w:left="0" w:leftChars="0" w:firstLine="480" w:firstLineChars="0"/>
        <w:rPr>
          <w:b w:val="0"/>
          <w:highlight w:val="none"/>
        </w:rPr>
      </w:pPr>
      <w:r>
        <w:rPr>
          <w:highlight w:val="none"/>
        </w:rPr>
        <w:t>供应商施工时应注意保护采购人的其他措施（含地下），凡因操作不当或野蛮施工损坏采购人或第三方其他设施，供应商负责照价赔偿。</w:t>
      </w:r>
    </w:p>
    <w:p w14:paraId="2AC0665B">
      <w:pPr>
        <w:pStyle w:val="2"/>
        <w:numPr>
          <w:ilvl w:val="0"/>
          <w:numId w:val="1"/>
        </w:numPr>
        <w:topLinePunct w:val="0"/>
        <w:ind w:left="0" w:leftChars="0" w:firstLine="0" w:firstLineChars="0"/>
        <w:rPr>
          <w:rFonts w:hint="eastAsia" w:ascii="黑体" w:hAnsi="黑体" w:eastAsia="黑体" w:cs="黑体"/>
          <w:b w:val="0"/>
          <w:sz w:val="30"/>
          <w:szCs w:val="30"/>
          <w:highlight w:val="none"/>
        </w:rPr>
      </w:pPr>
      <w:r>
        <w:rPr>
          <w:sz w:val="30"/>
          <w:szCs w:val="30"/>
          <w:highlight w:val="none"/>
        </w:rPr>
        <w:t>其它要求</w:t>
      </w:r>
    </w:p>
    <w:p w14:paraId="3C95EBCC">
      <w:pPr>
        <w:pStyle w:val="11"/>
        <w:numPr>
          <w:ilvl w:val="0"/>
          <w:numId w:val="7"/>
        </w:numPr>
        <w:ind w:left="0" w:leftChars="0" w:firstLine="480" w:firstLineChars="0"/>
        <w:rPr>
          <w:b w:val="0"/>
          <w:highlight w:val="none"/>
        </w:rPr>
      </w:pPr>
      <w:r>
        <w:rPr>
          <w:highlight w:val="none"/>
        </w:rPr>
        <w:t>供应商承诺：确定供应商后，供应商不得倒手转包、挂靠，一旦发现以上情况，采购人有权终止合同。（投标时提交承诺函原件）</w:t>
      </w:r>
    </w:p>
    <w:p w14:paraId="12DCF272">
      <w:pPr>
        <w:pStyle w:val="11"/>
        <w:numPr>
          <w:ilvl w:val="0"/>
          <w:numId w:val="7"/>
        </w:numPr>
        <w:ind w:left="0" w:leftChars="0" w:firstLine="480" w:firstLineChars="0"/>
        <w:rPr>
          <w:b w:val="0"/>
          <w:highlight w:val="none"/>
        </w:rPr>
      </w:pPr>
      <w:r>
        <w:rPr>
          <w:highlight w:val="none"/>
        </w:rPr>
        <w:t>施工设备、材料、劳务等由供应商自行解决。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605659"/>
      <w:docPartObj>
        <w:docPartGallery w:val="autotext"/>
      </w:docPartObj>
    </w:sdtPr>
    <w:sdtContent>
      <w:p w14:paraId="182F1810">
        <w:pPr>
          <w:pStyle w:val="12"/>
          <w:jc w:val="center"/>
        </w:pPr>
        <w:r>
          <w:fldChar w:fldCharType="begin"/>
        </w:r>
        <w:r>
          <w:instrText xml:space="preserve">PAGE   \* MERGEFORMAT</w:instrText>
        </w:r>
        <w:r>
          <w:fldChar w:fldCharType="separate"/>
        </w:r>
        <w:r>
          <w:rPr>
            <w:lang w:val="zh-CN"/>
          </w:rPr>
          <w:t>1</w:t>
        </w:r>
        <w:r>
          <w:fldChar w:fldCharType="end"/>
        </w:r>
      </w:p>
    </w:sdtContent>
  </w:sdt>
  <w:p w14:paraId="315DDB7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64ED3"/>
    <w:multiLevelType w:val="singleLevel"/>
    <w:tmpl w:val="99364ED3"/>
    <w:lvl w:ilvl="0" w:tentative="0">
      <w:start w:val="1"/>
      <w:numFmt w:val="decimal"/>
      <w:suff w:val="space"/>
      <w:lvlText w:val="%1."/>
      <w:lvlJc w:val="left"/>
      <w:pPr>
        <w:ind w:left="0" w:firstLine="480"/>
      </w:pPr>
      <w:rPr>
        <w:rFonts w:hint="default"/>
      </w:rPr>
    </w:lvl>
  </w:abstractNum>
  <w:abstractNum w:abstractNumId="1">
    <w:nsid w:val="A78BE1FA"/>
    <w:multiLevelType w:val="singleLevel"/>
    <w:tmpl w:val="A78BE1FA"/>
    <w:lvl w:ilvl="0" w:tentative="0">
      <w:start w:val="1"/>
      <w:numFmt w:val="decimal"/>
      <w:suff w:val="space"/>
      <w:lvlText w:val="%1."/>
      <w:lvlJc w:val="left"/>
      <w:pPr>
        <w:ind w:left="0" w:firstLine="480"/>
      </w:pPr>
      <w:rPr>
        <w:rFonts w:hint="default"/>
      </w:rPr>
    </w:lvl>
  </w:abstractNum>
  <w:abstractNum w:abstractNumId="2">
    <w:nsid w:val="DF7C7C67"/>
    <w:multiLevelType w:val="singleLevel"/>
    <w:tmpl w:val="DF7C7C67"/>
    <w:lvl w:ilvl="0" w:tentative="0">
      <w:start w:val="1"/>
      <w:numFmt w:val="decimal"/>
      <w:suff w:val="nothing"/>
      <w:lvlText w:val="%1．"/>
      <w:lvlJc w:val="left"/>
      <w:pPr>
        <w:ind w:left="0" w:firstLine="480"/>
      </w:pPr>
      <w:rPr>
        <w:rFonts w:hint="default"/>
      </w:rPr>
    </w:lvl>
  </w:abstractNum>
  <w:abstractNum w:abstractNumId="3">
    <w:nsid w:val="3037353A"/>
    <w:multiLevelType w:val="singleLevel"/>
    <w:tmpl w:val="3037353A"/>
    <w:lvl w:ilvl="0" w:tentative="0">
      <w:start w:val="1"/>
      <w:numFmt w:val="chineseCounting"/>
      <w:suff w:val="nothing"/>
      <w:lvlText w:val="%1、"/>
      <w:lvlJc w:val="left"/>
      <w:pPr>
        <w:ind w:left="0" w:firstLine="0"/>
      </w:pPr>
      <w:rPr>
        <w:rFonts w:hint="eastAsia"/>
        <w:sz w:val="30"/>
        <w:szCs w:val="30"/>
      </w:rPr>
    </w:lvl>
  </w:abstractNum>
  <w:abstractNum w:abstractNumId="4">
    <w:nsid w:val="34703E60"/>
    <w:multiLevelType w:val="singleLevel"/>
    <w:tmpl w:val="34703E60"/>
    <w:lvl w:ilvl="0" w:tentative="0">
      <w:start w:val="1"/>
      <w:numFmt w:val="decimal"/>
      <w:suff w:val="nothing"/>
      <w:lvlText w:val="（%1）"/>
      <w:lvlJc w:val="left"/>
      <w:pPr>
        <w:ind w:left="0" w:firstLine="480"/>
      </w:pPr>
      <w:rPr>
        <w:rFonts w:hint="default"/>
      </w:rPr>
    </w:lvl>
  </w:abstractNum>
  <w:abstractNum w:abstractNumId="5">
    <w:nsid w:val="5CC13065"/>
    <w:multiLevelType w:val="singleLevel"/>
    <w:tmpl w:val="5CC13065"/>
    <w:lvl w:ilvl="0" w:tentative="0">
      <w:start w:val="1"/>
      <w:numFmt w:val="decimal"/>
      <w:suff w:val="space"/>
      <w:lvlText w:val="%1."/>
      <w:lvlJc w:val="left"/>
      <w:pPr>
        <w:ind w:left="0" w:firstLine="480"/>
      </w:pPr>
      <w:rPr>
        <w:rFonts w:hint="default"/>
      </w:rPr>
    </w:lvl>
  </w:abstractNum>
  <w:abstractNum w:abstractNumId="6">
    <w:nsid w:val="780E8493"/>
    <w:multiLevelType w:val="singleLevel"/>
    <w:tmpl w:val="780E8493"/>
    <w:lvl w:ilvl="0" w:tentative="0">
      <w:start w:val="1"/>
      <w:numFmt w:val="decimal"/>
      <w:suff w:val="space"/>
      <w:lvlText w:val="%1."/>
      <w:lvlJc w:val="left"/>
      <w:pPr>
        <w:ind w:left="0" w:firstLine="480"/>
      </w:pPr>
      <w:rPr>
        <w:rFonts w:hint="default"/>
      </w:r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YzkyNzYzYzU0OWE1ODhlZmIwZjE3MmZjZTcyMzYifQ=="/>
  </w:docVars>
  <w:rsids>
    <w:rsidRoot w:val="00F90C03"/>
    <w:rsid w:val="001F4306"/>
    <w:rsid w:val="00330F25"/>
    <w:rsid w:val="00767B68"/>
    <w:rsid w:val="00767F98"/>
    <w:rsid w:val="00866205"/>
    <w:rsid w:val="00C61CDD"/>
    <w:rsid w:val="00D3230C"/>
    <w:rsid w:val="00F90C03"/>
    <w:rsid w:val="04E1356B"/>
    <w:rsid w:val="0DFA0F36"/>
    <w:rsid w:val="11B5165C"/>
    <w:rsid w:val="122D695B"/>
    <w:rsid w:val="214D53FB"/>
    <w:rsid w:val="26123EA8"/>
    <w:rsid w:val="2943507B"/>
    <w:rsid w:val="294A6C5A"/>
    <w:rsid w:val="2B8676FA"/>
    <w:rsid w:val="2BD129D7"/>
    <w:rsid w:val="2CF11F20"/>
    <w:rsid w:val="2F6D4F60"/>
    <w:rsid w:val="3CD07521"/>
    <w:rsid w:val="3E4912C1"/>
    <w:rsid w:val="45245024"/>
    <w:rsid w:val="47234B32"/>
    <w:rsid w:val="4AD64162"/>
    <w:rsid w:val="54246CFB"/>
    <w:rsid w:val="59DD322C"/>
    <w:rsid w:val="5E807F8A"/>
    <w:rsid w:val="61BA50FC"/>
    <w:rsid w:val="687A4B9A"/>
    <w:rsid w:val="6B6E410D"/>
    <w:rsid w:val="6C4038DA"/>
    <w:rsid w:val="6E8B413C"/>
    <w:rsid w:val="72162485"/>
    <w:rsid w:val="74153135"/>
    <w:rsid w:val="75BD6407"/>
    <w:rsid w:val="763F73B2"/>
    <w:rsid w:val="7B13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8">
    <w:name w:val="Strong"/>
    <w:basedOn w:val="17"/>
    <w:qFormat/>
    <w:uiPriority w:val="22"/>
    <w:rPr>
      <w:b/>
    </w:rPr>
  </w:style>
  <w:style w:type="paragraph" w:customStyle="1" w:styleId="1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List Paragraph"/>
    <w:basedOn w:val="1"/>
    <w:qFormat/>
    <w:uiPriority w:val="34"/>
    <w:pPr>
      <w:widowControl/>
      <w:ind w:firstLine="420" w:firstLineChars="200"/>
      <w:jc w:val="left"/>
    </w:pPr>
    <w:rPr>
      <w:rFonts w:ascii="Times New Roman" w:hAnsi="Times New Roman"/>
      <w:kern w:val="0"/>
      <w:szCs w:val="20"/>
    </w:rPr>
  </w:style>
  <w:style w:type="character" w:customStyle="1" w:styleId="21">
    <w:name w:val="页眉 Char"/>
    <w:basedOn w:val="17"/>
    <w:link w:val="13"/>
    <w:qFormat/>
    <w:uiPriority w:val="99"/>
    <w:rPr>
      <w:rFonts w:ascii="Calibri" w:hAnsi="Calibri" w:eastAsia="宋体" w:cs="Times New Roman"/>
      <w:sz w:val="18"/>
      <w:szCs w:val="18"/>
    </w:rPr>
  </w:style>
  <w:style w:type="character" w:customStyle="1" w:styleId="22">
    <w:name w:val="页脚 Char"/>
    <w:basedOn w:val="17"/>
    <w:link w:val="12"/>
    <w:qFormat/>
    <w:uiPriority w:val="99"/>
    <w:rPr>
      <w:rFonts w:ascii="Calibri" w:hAnsi="Calibri" w:eastAsia="宋体" w:cs="Times New Roman"/>
      <w:sz w:val="18"/>
      <w:szCs w:val="18"/>
    </w:rPr>
  </w:style>
  <w:style w:type="character" w:customStyle="1" w:styleId="23">
    <w:name w:val="正文文本 (2)_"/>
    <w:link w:val="24"/>
    <w:qFormat/>
    <w:uiPriority w:val="0"/>
    <w:rPr>
      <w:rFonts w:ascii="MingLiU" w:eastAsia="MingLiU" w:cs="MingLiU"/>
      <w:sz w:val="20"/>
      <w:szCs w:val="20"/>
      <w:shd w:val="clear" w:color="auto" w:fill="FFFFFF"/>
    </w:rPr>
  </w:style>
  <w:style w:type="paragraph" w:customStyle="1" w:styleId="24">
    <w:name w:val="正文文本 (2)1"/>
    <w:basedOn w:val="1"/>
    <w:link w:val="23"/>
    <w:qFormat/>
    <w:uiPriority w:val="0"/>
    <w:pPr>
      <w:shd w:val="clear" w:color="auto" w:fill="FFFFFF"/>
      <w:spacing w:before="220" w:line="408" w:lineRule="exact"/>
      <w:ind w:hanging="720"/>
      <w:jc w:val="left"/>
    </w:pPr>
    <w:rPr>
      <w:rFonts w:ascii="MingLiU" w:eastAsia="MingLiU" w:cs="MingLiU" w:hAnsiTheme="minorHAnsi"/>
      <w:sz w:val="20"/>
      <w:szCs w:val="20"/>
    </w:rPr>
  </w:style>
  <w:style w:type="paragraph" w:customStyle="1" w:styleId="25">
    <w:name w:val="EndnoteText"/>
    <w:basedOn w:val="1"/>
    <w:qFormat/>
    <w:uiPriority w:val="0"/>
    <w:pPr>
      <w:snapToGrid w:val="0"/>
    </w:pPr>
    <w:rPr>
      <w:rFonts w:ascii="宋体" w:hAns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3052</Words>
  <Characters>3142</Characters>
  <Lines>18</Lines>
  <Paragraphs>5</Paragraphs>
  <TotalTime>15</TotalTime>
  <ScaleCrop>false</ScaleCrop>
  <LinksUpToDate>false</LinksUpToDate>
  <CharactersWithSpaces>3142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2018-08-16T05:44:00Z</dcterms:created>
  <dc:creator>AutoBVT</dc:creator>
  <cp:lastModifiedBy>｀</cp:lastModifiedBy>
  <cp:lastPrinted>2025-11-27T01:00:00Z</cp:lastPrinted>
  <dcterms:modified xsi:type="dcterms:W3CDTF">2025-11-27T07:01:28Z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F29B0FC8FD6D4AFD84C3CCD28F9DA275_13</vt:lpwstr>
  </property>
  <property fmtid="{D5CDD505-2E9C-101B-9397-08002B2CF9AE}" pid="4" name="KSOTemplateDocerSaveRecord">
    <vt:lpwstr>eyJoZGlkIjoiZWZiMGUzNDM1MGFkMTc2YmM4ZmZjMDFkZWExZjE3NjkiLCJ1c2VySWQiOiIyNDk0NjI2MzEifQ==</vt:lpwstr>
  </property>
</Properties>
</file>